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beforeAutospacing="1" w:after="0" w:line="566" w:lineRule="atLeast"/>
        <w:jc w:val="center"/>
        <w:rPr>
          <w:rFonts w:ascii="Trebuchet MS" w:hAnsi="Trebuchet MS" w:eastAsia="Times New Roman" w:cs="Calibri"/>
          <w:b/>
          <w:bCs/>
          <w:color w:val="000000"/>
          <w:sz w:val="38"/>
          <w:szCs w:val="38"/>
        </w:rPr>
      </w:pPr>
      <w:r>
        <w:rPr>
          <w:rFonts w:ascii="Trebuchet MS" w:hAnsi="Trebuchet MS" w:eastAsia="Times New Roman" w:cs="Calibri"/>
          <w:b/>
          <w:bCs/>
          <w:color w:val="000000"/>
          <w:sz w:val="38"/>
          <w:szCs w:val="38"/>
        </w:rPr>
        <w:drawing>
          <wp:inline distT="0" distB="0" distL="0" distR="0">
            <wp:extent cx="1075055" cy="964565"/>
            <wp:effectExtent l="19050" t="0" r="0" b="0"/>
            <wp:docPr id="1" name="Picture 2" descr="EFCC Logo for Me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FCC Logo for Memos"/>
                    <pic:cNvPicPr>
                      <a:picLocks noChangeAspect="1" noChangeArrowheads="1"/>
                    </pic:cNvPicPr>
                  </pic:nvPicPr>
                  <pic:blipFill>
                    <a:blip r:embed="rId9" cstate="print"/>
                    <a:srcRect/>
                    <a:stretch>
                      <a:fillRect/>
                    </a:stretch>
                  </pic:blipFill>
                  <pic:spPr>
                    <a:xfrm>
                      <a:off x="0" y="0"/>
                      <a:ext cx="1075055" cy="964565"/>
                    </a:xfrm>
                    <a:prstGeom prst="rect">
                      <a:avLst/>
                    </a:prstGeom>
                    <a:noFill/>
                    <a:ln w="9525">
                      <a:noFill/>
                      <a:miter lim="800000"/>
                      <a:headEnd/>
                      <a:tailEnd/>
                    </a:ln>
                  </pic:spPr>
                </pic:pic>
              </a:graphicData>
            </a:graphic>
          </wp:inline>
        </w:drawing>
      </w:r>
    </w:p>
    <w:p>
      <w:pPr>
        <w:shd w:val="clear" w:color="auto" w:fill="FFFFFF"/>
        <w:spacing w:before="100" w:beforeAutospacing="1" w:after="0" w:line="360" w:lineRule="auto"/>
        <w:jc w:val="center"/>
        <w:rPr>
          <w:rFonts w:ascii="Trebuchet MS" w:hAnsi="Trebuchet MS" w:eastAsia="Times New Roman" w:cs="Calibri"/>
          <w:b/>
          <w:bCs/>
          <w:color w:val="000000"/>
          <w:sz w:val="24"/>
          <w:szCs w:val="38"/>
        </w:rPr>
      </w:pPr>
    </w:p>
    <w:p>
      <w:pPr>
        <w:shd w:val="clear" w:color="auto" w:fill="FFFFFF"/>
        <w:spacing w:before="100" w:beforeAutospacing="1" w:after="0" w:line="360" w:lineRule="auto"/>
        <w:jc w:val="center"/>
        <w:rPr>
          <w:rFonts w:ascii="Trebuchet MS" w:hAnsi="Trebuchet MS" w:eastAsia="Times New Roman" w:cs="Calibri"/>
          <w:b/>
          <w:bCs/>
          <w:i/>
          <w:color w:val="000000"/>
          <w:sz w:val="34"/>
          <w:szCs w:val="38"/>
        </w:rPr>
      </w:pPr>
      <w:r>
        <w:rPr>
          <w:rFonts w:ascii="Trebuchet MS" w:hAnsi="Trebuchet MS" w:eastAsia="Times New Roman" w:cs="Calibri"/>
          <w:b/>
          <w:bCs/>
          <w:i/>
          <w:color w:val="000000"/>
          <w:sz w:val="34"/>
          <w:szCs w:val="38"/>
        </w:rPr>
        <w:t>“</w:t>
      </w:r>
      <w:bookmarkStart w:id="0" w:name="_GoBack"/>
      <w:r>
        <w:rPr>
          <w:rFonts w:ascii="Trebuchet MS" w:hAnsi="Trebuchet MS" w:eastAsia="Times New Roman" w:cs="Calibri"/>
          <w:b/>
          <w:bCs/>
          <w:i/>
          <w:color w:val="000000"/>
          <w:sz w:val="34"/>
          <w:szCs w:val="38"/>
        </w:rPr>
        <w:t>Seizure, Confiscation and Forfeiture Orders: Practical Consideration</w:t>
      </w:r>
      <w:bookmarkEnd w:id="0"/>
      <w:r>
        <w:rPr>
          <w:rFonts w:ascii="Trebuchet MS" w:hAnsi="Trebuchet MS" w:eastAsia="Times New Roman" w:cs="Calibri"/>
          <w:b/>
          <w:bCs/>
          <w:i/>
          <w:color w:val="000000"/>
          <w:sz w:val="34"/>
          <w:szCs w:val="38"/>
        </w:rPr>
        <w:t>”</w:t>
      </w:r>
    </w:p>
    <w:p>
      <w:pPr>
        <w:shd w:val="clear" w:color="auto" w:fill="FFFFFF"/>
        <w:spacing w:before="100" w:beforeAutospacing="1" w:after="0" w:line="360" w:lineRule="auto"/>
        <w:jc w:val="center"/>
        <w:rPr>
          <w:rFonts w:eastAsia="Times New Roman" w:cs="Calibri"/>
          <w:color w:val="000000"/>
          <w:sz w:val="18"/>
        </w:rPr>
      </w:pPr>
      <w:r>
        <w:rPr>
          <w:rFonts w:ascii="Trebuchet MS" w:hAnsi="Trebuchet MS" w:eastAsia="Times New Roman" w:cs="Calibri"/>
          <w:b/>
          <w:bCs/>
          <w:color w:val="000000"/>
          <w:sz w:val="34"/>
          <w:szCs w:val="38"/>
        </w:rPr>
        <w:t>Paper Presented</w:t>
      </w:r>
    </w:p>
    <w:p>
      <w:pPr>
        <w:shd w:val="clear" w:color="auto" w:fill="FFFFFF"/>
        <w:spacing w:before="100" w:beforeAutospacing="1" w:after="0" w:line="360" w:lineRule="auto"/>
        <w:jc w:val="center"/>
        <w:rPr>
          <w:rFonts w:eastAsia="Times New Roman" w:cs="Calibri"/>
          <w:color w:val="000000"/>
          <w:sz w:val="18"/>
        </w:rPr>
      </w:pPr>
      <w:r>
        <w:rPr>
          <w:rFonts w:ascii="Trebuchet MS" w:hAnsi="Trebuchet MS" w:eastAsia="Times New Roman" w:cs="Calibri"/>
          <w:b/>
          <w:bCs/>
          <w:color w:val="000000"/>
          <w:sz w:val="34"/>
          <w:szCs w:val="38"/>
        </w:rPr>
        <w:t>By</w:t>
      </w:r>
    </w:p>
    <w:p>
      <w:pPr>
        <w:shd w:val="clear" w:color="auto" w:fill="FFFFFF"/>
        <w:spacing w:before="100" w:beforeAutospacing="1" w:after="0" w:line="360" w:lineRule="auto"/>
        <w:jc w:val="center"/>
        <w:rPr>
          <w:rFonts w:eastAsia="Times New Roman" w:cs="Calibri"/>
          <w:color w:val="000000"/>
          <w:sz w:val="18"/>
        </w:rPr>
      </w:pPr>
      <w:r>
        <w:rPr>
          <w:rFonts w:ascii="Trebuchet MS" w:hAnsi="Trebuchet MS" w:eastAsia="Times New Roman" w:cs="Calibri"/>
          <w:b/>
          <w:bCs/>
          <w:color w:val="000000"/>
          <w:sz w:val="34"/>
          <w:szCs w:val="38"/>
        </w:rPr>
        <w:t xml:space="preserve">Abdulrasheed Bawa, </w:t>
      </w:r>
      <w:r>
        <w:rPr>
          <w:rFonts w:ascii="Trebuchet MS" w:hAnsi="Trebuchet MS" w:eastAsia="Times New Roman" w:cs="Calibri"/>
          <w:b/>
          <w:bCs/>
          <w:i/>
          <w:color w:val="000000"/>
          <w:sz w:val="34"/>
          <w:szCs w:val="38"/>
        </w:rPr>
        <w:t>CFE, CAMS,</w:t>
      </w:r>
    </w:p>
    <w:p>
      <w:pPr>
        <w:shd w:val="clear" w:color="auto" w:fill="FFFFFF"/>
        <w:spacing w:before="100" w:beforeAutospacing="1" w:after="0" w:line="360" w:lineRule="auto"/>
        <w:jc w:val="center"/>
        <w:rPr>
          <w:rFonts w:eastAsia="Times New Roman" w:cs="Calibri"/>
          <w:color w:val="000000"/>
          <w:sz w:val="18"/>
        </w:rPr>
      </w:pPr>
      <w:r>
        <w:rPr>
          <w:rFonts w:ascii="Trebuchet MS" w:hAnsi="Trebuchet MS" w:eastAsia="Times New Roman" w:cs="Calibri"/>
          <w:b/>
          <w:bCs/>
          <w:color w:val="000000"/>
          <w:sz w:val="34"/>
          <w:szCs w:val="38"/>
        </w:rPr>
        <w:t>Executive Chairman, Economic and Financial Crimes Commission,</w:t>
      </w:r>
    </w:p>
    <w:p>
      <w:pPr>
        <w:shd w:val="clear" w:color="auto" w:fill="FFFFFF"/>
        <w:spacing w:before="100" w:beforeAutospacing="1" w:after="0" w:line="360" w:lineRule="auto"/>
        <w:jc w:val="center"/>
        <w:rPr>
          <w:rFonts w:eastAsia="Times New Roman" w:cs="Calibri"/>
          <w:color w:val="000000"/>
          <w:sz w:val="18"/>
        </w:rPr>
      </w:pPr>
      <w:r>
        <w:rPr>
          <w:rFonts w:ascii="Trebuchet MS" w:hAnsi="Trebuchet MS" w:eastAsia="Times New Roman" w:cs="Calibri"/>
          <w:b/>
          <w:bCs/>
          <w:color w:val="000000"/>
          <w:sz w:val="34"/>
          <w:szCs w:val="38"/>
        </w:rPr>
        <w:t>At the</w:t>
      </w:r>
    </w:p>
    <w:p>
      <w:pPr>
        <w:shd w:val="clear" w:color="auto" w:fill="FFFFFF"/>
        <w:spacing w:before="100" w:beforeAutospacing="1" w:after="0" w:line="360" w:lineRule="auto"/>
        <w:jc w:val="center"/>
        <w:rPr>
          <w:rFonts w:ascii="Trebuchet MS" w:hAnsi="Trebuchet MS" w:eastAsia="Times New Roman" w:cs="Calibri"/>
          <w:b/>
          <w:bCs/>
          <w:color w:val="000000"/>
          <w:sz w:val="34"/>
          <w:szCs w:val="38"/>
        </w:rPr>
      </w:pPr>
      <w:r>
        <w:rPr>
          <w:rFonts w:ascii="Trebuchet MS" w:hAnsi="Trebuchet MS" w:eastAsia="Times New Roman" w:cs="Calibri"/>
          <w:b/>
          <w:bCs/>
          <w:color w:val="000000"/>
          <w:sz w:val="34"/>
          <w:szCs w:val="38"/>
        </w:rPr>
        <w:t xml:space="preserve">National Workshop for Investigators and Prosecutors, </w:t>
      </w:r>
    </w:p>
    <w:p>
      <w:pPr>
        <w:shd w:val="clear" w:color="auto" w:fill="FFFFFF"/>
        <w:spacing w:before="100" w:beforeAutospacing="1" w:after="0" w:line="360" w:lineRule="auto"/>
        <w:jc w:val="center"/>
        <w:rPr>
          <w:rFonts w:eastAsia="Times New Roman" w:cs="Calibri"/>
          <w:color w:val="000000"/>
          <w:sz w:val="18"/>
        </w:rPr>
      </w:pPr>
      <w:r>
        <w:rPr>
          <w:rFonts w:ascii="Trebuchet MS" w:hAnsi="Trebuchet MS" w:eastAsia="Times New Roman" w:cs="Calibri"/>
          <w:b/>
          <w:bCs/>
          <w:color w:val="000000"/>
          <w:sz w:val="34"/>
          <w:szCs w:val="38"/>
        </w:rPr>
        <w:t>Held on</w:t>
      </w:r>
    </w:p>
    <w:p>
      <w:pPr>
        <w:shd w:val="clear" w:color="auto" w:fill="FFFFFF"/>
        <w:spacing w:before="100" w:beforeAutospacing="1" w:after="0" w:line="360" w:lineRule="auto"/>
        <w:jc w:val="center"/>
        <w:rPr>
          <w:rFonts w:eastAsia="Times New Roman" w:cs="Calibri"/>
          <w:color w:val="000000"/>
          <w:sz w:val="18"/>
        </w:rPr>
      </w:pPr>
      <w:r>
        <w:rPr>
          <w:rFonts w:ascii="Trebuchet MS" w:hAnsi="Trebuchet MS" w:eastAsia="Times New Roman" w:cs="Calibri"/>
          <w:b/>
          <w:bCs/>
          <w:color w:val="000000"/>
          <w:sz w:val="34"/>
          <w:szCs w:val="38"/>
        </w:rPr>
        <w:t>12</w:t>
      </w:r>
      <w:r>
        <w:rPr>
          <w:rFonts w:ascii="Trebuchet MS" w:hAnsi="Trebuchet MS" w:eastAsia="Times New Roman" w:cs="Calibri"/>
          <w:b/>
          <w:bCs/>
          <w:color w:val="000000"/>
          <w:sz w:val="34"/>
          <w:szCs w:val="38"/>
          <w:vertAlign w:val="superscript"/>
        </w:rPr>
        <w:t>th</w:t>
      </w:r>
      <w:r>
        <w:rPr>
          <w:rFonts w:ascii="Trebuchet MS" w:hAnsi="Trebuchet MS" w:eastAsia="Times New Roman" w:cs="Calibri"/>
          <w:b/>
          <w:bCs/>
          <w:color w:val="000000"/>
          <w:sz w:val="34"/>
          <w:szCs w:val="38"/>
        </w:rPr>
        <w:t xml:space="preserve"> September, 2022</w:t>
      </w:r>
    </w:p>
    <w:p>
      <w:pPr>
        <w:shd w:val="clear" w:color="auto" w:fill="FFFFFF"/>
        <w:spacing w:before="100" w:beforeAutospacing="1" w:after="0" w:line="360" w:lineRule="auto"/>
        <w:jc w:val="center"/>
        <w:rPr>
          <w:rFonts w:eastAsia="Times New Roman" w:cs="Calibri"/>
          <w:color w:val="000000"/>
          <w:sz w:val="18"/>
        </w:rPr>
      </w:pPr>
      <w:r>
        <w:rPr>
          <w:rFonts w:ascii="Trebuchet MS" w:hAnsi="Trebuchet MS" w:eastAsia="Times New Roman" w:cs="Calibri"/>
          <w:b/>
          <w:bCs/>
          <w:color w:val="000000"/>
          <w:sz w:val="34"/>
          <w:szCs w:val="38"/>
        </w:rPr>
        <w:t>At The </w:t>
      </w:r>
    </w:p>
    <w:p>
      <w:pPr>
        <w:shd w:val="clear" w:color="auto" w:fill="FFFFFF"/>
        <w:spacing w:before="100" w:beforeAutospacing="1" w:after="0" w:line="360" w:lineRule="auto"/>
        <w:jc w:val="center"/>
        <w:rPr>
          <w:rFonts w:ascii="Century Gothic" w:hAnsi="Century Gothic"/>
          <w:b/>
          <w:sz w:val="28"/>
          <w:szCs w:val="28"/>
        </w:rPr>
      </w:pPr>
      <w:r>
        <w:rPr>
          <w:rFonts w:ascii="Trebuchet MS" w:hAnsi="Trebuchet MS" w:eastAsia="Times New Roman" w:cs="Calibri"/>
          <w:b/>
          <w:bCs/>
          <w:color w:val="000000"/>
          <w:sz w:val="34"/>
          <w:szCs w:val="38"/>
        </w:rPr>
        <w:t xml:space="preserve">National Judicial Institute, Abuja. </w:t>
      </w:r>
    </w:p>
    <w:p>
      <w:pPr>
        <w:spacing w:line="360" w:lineRule="auto"/>
        <w:jc w:val="both"/>
        <w:rPr>
          <w:rFonts w:ascii="Century Gothic" w:hAnsi="Century Gothic"/>
          <w:b/>
          <w:sz w:val="28"/>
          <w:szCs w:val="28"/>
        </w:rPr>
      </w:pPr>
      <w:r>
        <w:rPr>
          <w:rFonts w:ascii="Century Gothic" w:hAnsi="Century Gothic"/>
          <w:b/>
          <w:sz w:val="28"/>
          <w:szCs w:val="28"/>
        </w:rPr>
        <w:t>INTRODUCTION</w:t>
      </w:r>
    </w:p>
    <w:p>
      <w:pPr>
        <w:spacing w:line="360" w:lineRule="auto"/>
        <w:jc w:val="both"/>
        <w:rPr>
          <w:rFonts w:ascii="Century Gothic" w:hAnsi="Century Gothic"/>
          <w:sz w:val="28"/>
          <w:szCs w:val="28"/>
        </w:rPr>
      </w:pPr>
      <w:r>
        <w:rPr>
          <w:rFonts w:ascii="Century Gothic" w:hAnsi="Century Gothic"/>
          <w:sz w:val="28"/>
          <w:szCs w:val="28"/>
        </w:rPr>
        <w:t xml:space="preserve">I am delighted to be here today at this august gathering organized by the National Judicial Council (NJI). As you already know, we have a thriving, collaborative relationship with the NJI, which is the citadel of learning for the Judiciary, and indeed, all stakeholders in the justice system. The Economic and Financial Crimes Commission (EFCC) is statutorily mandated to investigate and prosecute economic and financial crimes and recover assets illicitly acquired from the said crimes. </w:t>
      </w:r>
      <w:r>
        <w:rPr>
          <w:rFonts w:ascii="Century Gothic" w:hAnsi="Century Gothic" w:cs="Times New Roman" w:eastAsiaTheme="minorEastAsia"/>
          <w:kern w:val="24"/>
          <w:sz w:val="28"/>
          <w:szCs w:val="28"/>
        </w:rPr>
        <w:t xml:space="preserve">The EFCC (Establishment) Act 2004 empowers the Commission to </w:t>
      </w:r>
      <w:r>
        <w:rPr>
          <w:rFonts w:ascii="Century Gothic" w:hAnsi="Century Gothic" w:cs="Times New Roman" w:eastAsiaTheme="minorEastAsia"/>
          <w:b/>
          <w:bCs/>
          <w:kern w:val="24"/>
          <w:sz w:val="28"/>
          <w:szCs w:val="28"/>
        </w:rPr>
        <w:t>adopt</w:t>
      </w:r>
      <w:r>
        <w:rPr>
          <w:rFonts w:ascii="Century Gothic" w:hAnsi="Century Gothic" w:cs="Times New Roman" w:eastAsiaTheme="minorEastAsia"/>
          <w:kern w:val="24"/>
          <w:sz w:val="28"/>
          <w:szCs w:val="28"/>
        </w:rPr>
        <w:t xml:space="preserve"> measures to identify, trace, freeze, confiscate or seize proceeds derived from terrorist activities and economic and financial crimes related offences. I must state unequivocally that the Commission’s success in achieving its mandate requires the active participation of all stakeholders. The Commission prioritizes collaboration with all its stakeholders and this forms one of our core objectives.    </w:t>
      </w:r>
    </w:p>
    <w:p>
      <w:pPr>
        <w:shd w:val="clear" w:color="auto" w:fill="FFFFFF"/>
        <w:spacing w:after="300" w:line="360" w:lineRule="auto"/>
        <w:jc w:val="both"/>
        <w:rPr>
          <w:rFonts w:ascii="Century Gothic" w:hAnsi="Century Gothic" w:eastAsia="Times New Roman" w:cs="Tahoma"/>
          <w:sz w:val="28"/>
          <w:szCs w:val="28"/>
        </w:rPr>
      </w:pPr>
      <w:r>
        <w:rPr>
          <w:rFonts w:ascii="Tahoma" w:hAnsi="Tahoma" w:eastAsia="Times New Roman" w:cs="Tahoma"/>
          <w:sz w:val="28"/>
          <w:szCs w:val="28"/>
        </w:rPr>
        <w:t>﻿</w:t>
      </w:r>
      <w:r>
        <w:rPr>
          <w:rFonts w:ascii="Century Gothic" w:hAnsi="Century Gothic" w:eastAsia="Times New Roman" w:cs="Tahoma"/>
          <w:sz w:val="28"/>
          <w:szCs w:val="28"/>
        </w:rPr>
        <w:t>The primary aim of investigating and prosecuting these offences is to disgorge the criminals of the proceeds of crime and recover assets illicitly acquired through such crimes. In doing so, the processes of recovering such assets have to be diligently followed. That said, the core objective of this Paper is to examine the seizure confiscation and forfeiture of assets, the salient processes involved as well as other considerations.</w:t>
      </w:r>
    </w:p>
    <w:p>
      <w:pPr>
        <w:shd w:val="clear" w:color="auto" w:fill="FFFFFF"/>
        <w:spacing w:after="300" w:line="360" w:lineRule="auto"/>
        <w:jc w:val="both"/>
        <w:rPr>
          <w:rFonts w:ascii="Century Gothic" w:hAnsi="Century Gothic" w:eastAsia="Times New Roman" w:cs="Arial"/>
          <w:b/>
          <w:iCs/>
          <w:sz w:val="28"/>
          <w:szCs w:val="28"/>
        </w:rPr>
      </w:pPr>
    </w:p>
    <w:p>
      <w:pPr>
        <w:shd w:val="clear" w:color="auto" w:fill="FFFFFF"/>
        <w:spacing w:after="300" w:line="360" w:lineRule="auto"/>
        <w:jc w:val="both"/>
        <w:rPr>
          <w:rFonts w:ascii="Century Gothic" w:hAnsi="Century Gothic" w:eastAsia="Times New Roman" w:cs="Arial"/>
          <w:b/>
          <w:sz w:val="28"/>
          <w:szCs w:val="28"/>
        </w:rPr>
      </w:pPr>
      <w:r>
        <w:rPr>
          <w:rFonts w:ascii="Century Gothic" w:hAnsi="Century Gothic" w:eastAsia="Times New Roman" w:cs="Arial"/>
          <w:b/>
          <w:iCs/>
          <w:sz w:val="28"/>
          <w:szCs w:val="28"/>
        </w:rPr>
        <w:t>ASSET SEIZURE</w:t>
      </w:r>
      <w:r>
        <w:rPr>
          <w:rFonts w:ascii="Century Gothic" w:hAnsi="Century Gothic" w:eastAsia="Times New Roman" w:cs="Arial"/>
          <w:b/>
          <w:sz w:val="28"/>
          <w:szCs w:val="28"/>
        </w:rPr>
        <w:t> </w:t>
      </w:r>
    </w:p>
    <w:p>
      <w:pPr>
        <w:shd w:val="clear" w:color="auto" w:fill="FFFFFF"/>
        <w:spacing w:after="300" w:line="360" w:lineRule="auto"/>
        <w:jc w:val="both"/>
        <w:rPr>
          <w:rFonts w:ascii="Century Gothic" w:hAnsi="Century Gothic" w:eastAsia="Times New Roman" w:cs="Arial"/>
          <w:sz w:val="28"/>
          <w:szCs w:val="28"/>
        </w:rPr>
      </w:pPr>
      <w:r>
        <w:rPr>
          <w:rFonts w:ascii="Century Gothic" w:hAnsi="Century Gothic" w:eastAsia="Times New Roman" w:cs="Arial"/>
          <w:sz w:val="28"/>
          <w:szCs w:val="28"/>
        </w:rPr>
        <w:t>I will commence this discussion by stating that the provision for search seizures, confiscation and forfeiture can be found in a plethora of laws in Nigeria. It can also be found in laws establishing law enforcement institutions and procedural laws. For the purpose of this paper I will mostly concern myself with seizure and forfeiture proceedings under the laws enforced by the EFCC. Section 26 of the Establishment Act confers on the Commission, the power of seizure in the following circumstances:</w:t>
      </w:r>
    </w:p>
    <w:p>
      <w:pPr>
        <w:numPr>
          <w:ilvl w:val="0"/>
          <w:numId w:val="1"/>
        </w:numPr>
        <w:shd w:val="clear" w:color="auto" w:fill="FFFFFF"/>
        <w:spacing w:after="300" w:line="360" w:lineRule="auto"/>
        <w:jc w:val="both"/>
        <w:rPr>
          <w:rFonts w:ascii="Century Gothic" w:hAnsi="Century Gothic" w:eastAsia="Times New Roman" w:cs="Arial"/>
          <w:sz w:val="28"/>
          <w:szCs w:val="28"/>
        </w:rPr>
      </w:pPr>
      <w:r>
        <w:rPr>
          <w:rFonts w:ascii="Century Gothic" w:hAnsi="Century Gothic" w:eastAsia="Times New Roman" w:cs="Arial"/>
          <w:sz w:val="28"/>
          <w:szCs w:val="28"/>
        </w:rPr>
        <w:t xml:space="preserve">Seizure incidental to arrest or search. </w:t>
      </w:r>
    </w:p>
    <w:p>
      <w:pPr>
        <w:numPr>
          <w:ilvl w:val="0"/>
          <w:numId w:val="1"/>
        </w:numPr>
        <w:shd w:val="clear" w:color="auto" w:fill="FFFFFF"/>
        <w:spacing w:after="300" w:line="360" w:lineRule="auto"/>
        <w:jc w:val="both"/>
        <w:rPr>
          <w:rFonts w:ascii="Century Gothic" w:hAnsi="Century Gothic" w:eastAsia="Times New Roman" w:cs="Arial"/>
          <w:sz w:val="28"/>
          <w:szCs w:val="28"/>
        </w:rPr>
      </w:pPr>
      <w:r>
        <w:rPr>
          <w:rFonts w:ascii="Century Gothic" w:hAnsi="Century Gothic" w:eastAsia="Times New Roman" w:cs="Arial"/>
          <w:sz w:val="28"/>
          <w:szCs w:val="28"/>
        </w:rPr>
        <w:t>Seizure subject to Court order following an application for forfeiture by the Commission.</w:t>
      </w:r>
    </w:p>
    <w:p>
      <w:pPr>
        <w:shd w:val="clear" w:color="auto" w:fill="FFFFFF"/>
        <w:spacing w:after="300" w:line="360" w:lineRule="auto"/>
        <w:ind w:left="75"/>
        <w:jc w:val="both"/>
        <w:rPr>
          <w:rFonts w:ascii="Century Gothic" w:hAnsi="Century Gothic" w:eastAsia="Times New Roman" w:cs="Arial"/>
          <w:sz w:val="28"/>
          <w:szCs w:val="28"/>
        </w:rPr>
      </w:pPr>
      <w:r>
        <w:rPr>
          <w:rFonts w:ascii="Century Gothic" w:hAnsi="Century Gothic" w:eastAsia="Times New Roman" w:cs="Arial"/>
          <w:sz w:val="28"/>
          <w:szCs w:val="28"/>
        </w:rPr>
        <w:t>The procedure usually is to obtain authority for seizures of a particular item or a search warrant issued by a magistrate pursuant to which seizures can be made. The application for warrant can be based on a sworn affidavit describing in detail the item for seizure and the evidence showing its connection with the crime under investigation or prosecution.</w:t>
      </w:r>
    </w:p>
    <w:p>
      <w:pPr>
        <w:widowControl w:val="0"/>
        <w:tabs>
          <w:tab w:val="left" w:pos="802"/>
          <w:tab w:val="left" w:pos="804"/>
        </w:tabs>
        <w:autoSpaceDE w:val="0"/>
        <w:autoSpaceDN w:val="0"/>
        <w:spacing w:before="132" w:after="0" w:line="360" w:lineRule="auto"/>
        <w:jc w:val="both"/>
        <w:rPr>
          <w:rFonts w:ascii="Century Gothic" w:hAnsi="Century Gothic" w:eastAsia="Times New Roman" w:cs="Arial"/>
          <w:sz w:val="28"/>
          <w:szCs w:val="28"/>
        </w:rPr>
      </w:pPr>
      <w:r>
        <w:rPr>
          <w:rFonts w:ascii="Century Gothic" w:hAnsi="Century Gothic" w:cs="Times New Roman"/>
          <w:w w:val="105"/>
          <w:sz w:val="28"/>
          <w:szCs w:val="28"/>
        </w:rPr>
        <w:t xml:space="preserve">The recently enacted </w:t>
      </w:r>
      <w:r>
        <w:rPr>
          <w:rFonts w:ascii="Century Gothic" w:hAnsi="Century Gothic" w:eastAsia="Times New Roman" w:cs="Arial"/>
          <w:sz w:val="28"/>
          <w:szCs w:val="28"/>
        </w:rPr>
        <w:t xml:space="preserve">Proceeds of Crime (Recovery and Management) Act 2022 </w:t>
      </w:r>
      <w:r>
        <w:rPr>
          <w:rFonts w:ascii="Century Gothic" w:hAnsi="Century Gothic" w:cs="Times New Roman"/>
          <w:w w:val="105"/>
          <w:sz w:val="28"/>
          <w:szCs w:val="28"/>
        </w:rPr>
        <w:t>also</w:t>
      </w:r>
      <w:r>
        <w:rPr>
          <w:rFonts w:ascii="Century Gothic" w:hAnsi="Century Gothic" w:eastAsia="Times New Roman" w:cs="Arial"/>
          <w:sz w:val="28"/>
          <w:szCs w:val="28"/>
        </w:rPr>
        <w:t xml:space="preserve"> made copious provision for seizure of assets in part V of the Act. The part provides for </w:t>
      </w:r>
      <w:r>
        <w:rPr>
          <w:rFonts w:ascii="Century Gothic" w:hAnsi="Century Gothic" w:cs="Times New Roman"/>
          <w:w w:val="105"/>
          <w:sz w:val="28"/>
          <w:szCs w:val="28"/>
        </w:rPr>
        <w:t>Seizure and detention of imported and exported cash and application for forfeiture of seized or detained cash.</w:t>
      </w:r>
      <w:r>
        <w:rPr>
          <w:rFonts w:ascii="Century Gothic" w:hAnsi="Century Gothic" w:cs="Times New Roman"/>
          <w:sz w:val="28"/>
          <w:szCs w:val="28"/>
        </w:rPr>
        <w:t xml:space="preserve"> </w:t>
      </w:r>
      <w:r>
        <w:rPr>
          <w:rFonts w:ascii="Century Gothic" w:hAnsi="Century Gothic" w:eastAsia="Times New Roman" w:cs="Arial"/>
          <w:sz w:val="28"/>
          <w:szCs w:val="28"/>
        </w:rPr>
        <w:t>More provision on seizure is contained in Part V11 dealing with investigation</w:t>
      </w:r>
      <w:r>
        <w:rPr>
          <w:rFonts w:ascii="Century Gothic" w:hAnsi="Century Gothic" w:cs="Times New Roman"/>
          <w:w w:val="105"/>
          <w:sz w:val="28"/>
          <w:szCs w:val="28"/>
        </w:rPr>
        <w:t>, search and seizure. The sole objective of these provisions is to provide relevant Organization with investigative tools, including tools relating to:</w:t>
      </w:r>
    </w:p>
    <w:p>
      <w:pPr>
        <w:pStyle w:val="12"/>
        <w:widowControl w:val="0"/>
        <w:numPr>
          <w:ilvl w:val="1"/>
          <w:numId w:val="2"/>
        </w:numPr>
        <w:tabs>
          <w:tab w:val="left" w:pos="3034"/>
          <w:tab w:val="left" w:pos="3036"/>
        </w:tabs>
        <w:autoSpaceDE w:val="0"/>
        <w:autoSpaceDN w:val="0"/>
        <w:spacing w:before="165" w:after="0" w:line="360" w:lineRule="auto"/>
        <w:ind w:left="1276"/>
        <w:contextualSpacing w:val="0"/>
        <w:rPr>
          <w:rFonts w:ascii="Century Gothic" w:hAnsi="Century Gothic" w:cs="Times New Roman"/>
          <w:sz w:val="28"/>
          <w:szCs w:val="28"/>
        </w:rPr>
      </w:pPr>
      <w:r>
        <w:rPr>
          <w:rFonts w:ascii="Century Gothic" w:hAnsi="Century Gothic" w:cs="Times New Roman"/>
          <w:w w:val="105"/>
          <w:sz w:val="28"/>
          <w:szCs w:val="28"/>
        </w:rPr>
        <w:t>establishing the whereabouts and extent of a person’s realizable assets,</w:t>
      </w:r>
    </w:p>
    <w:p>
      <w:pPr>
        <w:pStyle w:val="6"/>
        <w:spacing w:before="2" w:line="360" w:lineRule="auto"/>
        <w:ind w:left="1276"/>
        <w:rPr>
          <w:rFonts w:ascii="Century Gothic" w:hAnsi="Century Gothic" w:cs="Times New Roman"/>
          <w:sz w:val="10"/>
          <w:szCs w:val="28"/>
        </w:rPr>
      </w:pPr>
    </w:p>
    <w:p>
      <w:pPr>
        <w:pStyle w:val="12"/>
        <w:widowControl w:val="0"/>
        <w:numPr>
          <w:ilvl w:val="1"/>
          <w:numId w:val="2"/>
        </w:numPr>
        <w:tabs>
          <w:tab w:val="left" w:pos="3034"/>
          <w:tab w:val="left" w:pos="3036"/>
        </w:tabs>
        <w:autoSpaceDE w:val="0"/>
        <w:autoSpaceDN w:val="0"/>
        <w:spacing w:before="1" w:after="0" w:line="360" w:lineRule="auto"/>
        <w:ind w:left="1276" w:right="399"/>
        <w:contextualSpacing w:val="0"/>
        <w:rPr>
          <w:rFonts w:ascii="Century Gothic" w:hAnsi="Century Gothic" w:cs="Times New Roman"/>
          <w:sz w:val="28"/>
          <w:szCs w:val="28"/>
        </w:rPr>
      </w:pPr>
      <w:r>
        <w:rPr>
          <w:rFonts w:ascii="Century Gothic" w:hAnsi="Century Gothic" w:cs="Times New Roman"/>
          <w:w w:val="105"/>
          <w:sz w:val="28"/>
          <w:szCs w:val="28"/>
        </w:rPr>
        <w:t>identifying and recovery of property or instrumentalities that may be subject to civil forfeiture and confiscation, and</w:t>
      </w:r>
    </w:p>
    <w:p>
      <w:pPr>
        <w:pStyle w:val="6"/>
        <w:numPr>
          <w:ilvl w:val="1"/>
          <w:numId w:val="2"/>
        </w:numPr>
        <w:tabs>
          <w:tab w:val="left" w:pos="3034"/>
        </w:tabs>
        <w:spacing w:before="240" w:line="360" w:lineRule="auto"/>
        <w:ind w:left="1276"/>
        <w:rPr>
          <w:rFonts w:ascii="Century Gothic" w:hAnsi="Century Gothic" w:cs="Times New Roman"/>
          <w:sz w:val="28"/>
          <w:szCs w:val="28"/>
        </w:rPr>
      </w:pPr>
      <w:r>
        <w:rPr>
          <w:rFonts w:ascii="Century Gothic" w:hAnsi="Century Gothic" w:cs="Times New Roman"/>
          <w:w w:val="105"/>
          <w:sz w:val="28"/>
          <w:szCs w:val="28"/>
        </w:rPr>
        <w:t>a detained cash investigation.</w:t>
      </w:r>
    </w:p>
    <w:p>
      <w:pPr>
        <w:spacing w:after="0" w:line="360" w:lineRule="auto"/>
        <w:contextualSpacing/>
        <w:jc w:val="both"/>
        <w:rPr>
          <w:rFonts w:ascii="Century Gothic" w:hAnsi="Century Gothic" w:cs="Times New Roman" w:eastAsiaTheme="minorEastAsia"/>
          <w:kern w:val="24"/>
          <w:sz w:val="28"/>
          <w:szCs w:val="28"/>
        </w:rPr>
      </w:pPr>
    </w:p>
    <w:p>
      <w:pPr>
        <w:shd w:val="clear" w:color="auto" w:fill="FFFFFF"/>
        <w:spacing w:after="300" w:line="360" w:lineRule="auto"/>
        <w:jc w:val="both"/>
        <w:rPr>
          <w:rFonts w:ascii="Century Gothic" w:hAnsi="Century Gothic" w:eastAsia="Times New Roman" w:cs="Arial"/>
          <w:sz w:val="28"/>
          <w:szCs w:val="28"/>
        </w:rPr>
      </w:pPr>
      <w:r>
        <w:rPr>
          <w:rFonts w:ascii="Century Gothic" w:hAnsi="Century Gothic" w:eastAsia="Times New Roman" w:cs="Arial"/>
          <w:sz w:val="28"/>
          <w:szCs w:val="28"/>
        </w:rPr>
        <w:t>It is important to state that seizures can be made at any place in the cause of execution of a search warrant, or during an arrest. This is because an Officer could discover or identify a potential item of evidential value requiring seizure. In such a circumstance, the item must be seized and legal advice sought on its evidential value.</w:t>
      </w:r>
    </w:p>
    <w:p>
      <w:pPr>
        <w:shd w:val="clear" w:color="auto" w:fill="FFFFFF"/>
        <w:spacing w:after="300" w:line="360" w:lineRule="auto"/>
        <w:jc w:val="both"/>
        <w:rPr>
          <w:rFonts w:ascii="Century Gothic" w:hAnsi="Century Gothic" w:eastAsia="Times New Roman" w:cs="Arial"/>
          <w:sz w:val="28"/>
          <w:szCs w:val="28"/>
        </w:rPr>
      </w:pPr>
      <w:r>
        <w:rPr>
          <w:rFonts w:ascii="Century Gothic" w:hAnsi="Century Gothic" w:eastAsia="Times New Roman" w:cs="Arial"/>
          <w:sz w:val="28"/>
          <w:szCs w:val="28"/>
        </w:rPr>
        <w:t xml:space="preserve">Where practicable, investigators should undertake seizures after a full investigation and detailed evaluation of evidence collated by the Investigating Officers. </w:t>
      </w:r>
    </w:p>
    <w:p>
      <w:pPr>
        <w:shd w:val="clear" w:color="auto" w:fill="FFFFFF"/>
        <w:spacing w:after="300" w:line="360" w:lineRule="auto"/>
        <w:jc w:val="both"/>
        <w:rPr>
          <w:rFonts w:ascii="Century Gothic" w:hAnsi="Century Gothic" w:eastAsia="Times New Roman" w:cs="Arial"/>
          <w:sz w:val="28"/>
          <w:szCs w:val="28"/>
        </w:rPr>
      </w:pPr>
      <w:r>
        <w:rPr>
          <w:rFonts w:ascii="Century Gothic" w:hAnsi="Century Gothic" w:eastAsia="Times New Roman" w:cs="Arial"/>
          <w:sz w:val="28"/>
          <w:szCs w:val="28"/>
        </w:rPr>
        <w:t>Investigators should begin with pre seizure planning once an asset has been identified for seizure or forfeiture. This helps agencies avoid potentially costly management or safekeeping of assets issues. The EFCC has developed pre seizure planning methodology which is incorporated in the SOP of the Department of Proceeds of Crime Management and Operations Department.</w:t>
      </w:r>
    </w:p>
    <w:p>
      <w:pPr>
        <w:shd w:val="clear" w:color="auto" w:fill="FFFFFF"/>
        <w:spacing w:after="300" w:line="360" w:lineRule="auto"/>
        <w:jc w:val="both"/>
        <w:rPr>
          <w:rFonts w:ascii="Century Gothic" w:hAnsi="Century Gothic" w:eastAsia="Times New Roman" w:cs="Arial"/>
          <w:sz w:val="28"/>
          <w:szCs w:val="28"/>
        </w:rPr>
      </w:pPr>
      <w:r>
        <w:rPr>
          <w:rFonts w:ascii="Century Gothic" w:hAnsi="Century Gothic" w:eastAsia="Times New Roman" w:cs="Arial"/>
          <w:sz w:val="28"/>
          <w:szCs w:val="28"/>
        </w:rPr>
        <w:t>In Pre-Seizure Planning, investigating officers should consider the necessity of seizing an item. If there is no compelling reason to seize an item or if the cost of seizure will be prohibitive, the investigator should explore alternatives to seizure or forfeiture. Thus other issues such as storage, management concerns, and how value will be maintained should be consider before seizure. Investigators must also address additional considerations, such as third party interests in the items intended to be seized.</w:t>
      </w:r>
    </w:p>
    <w:p>
      <w:pPr>
        <w:shd w:val="clear" w:color="auto" w:fill="FFFFFF"/>
        <w:spacing w:after="300" w:line="360" w:lineRule="auto"/>
        <w:jc w:val="both"/>
        <w:rPr>
          <w:rFonts w:ascii="Century Gothic" w:hAnsi="Century Gothic" w:eastAsia="Times New Roman" w:cs="Arial"/>
          <w:sz w:val="28"/>
          <w:szCs w:val="28"/>
        </w:rPr>
      </w:pPr>
      <w:r>
        <w:rPr>
          <w:rFonts w:ascii="Century Gothic" w:hAnsi="Century Gothic" w:eastAsia="Times New Roman" w:cs="Arial"/>
          <w:sz w:val="28"/>
          <w:szCs w:val="28"/>
        </w:rPr>
        <w:t>It is also important to determine the item’s worth by engaging the services of professionals to value the item. The value of cash is identified easily,</w:t>
      </w:r>
    </w:p>
    <w:p>
      <w:pPr>
        <w:shd w:val="clear" w:color="auto" w:fill="FFFFFF"/>
        <w:spacing w:after="300" w:line="360" w:lineRule="auto"/>
        <w:jc w:val="both"/>
        <w:rPr>
          <w:rFonts w:ascii="Century Gothic" w:hAnsi="Century Gothic" w:eastAsia="Times New Roman" w:cs="Arial"/>
          <w:b/>
          <w:sz w:val="28"/>
          <w:szCs w:val="28"/>
        </w:rPr>
      </w:pPr>
      <w:r>
        <w:rPr>
          <w:rFonts w:ascii="Century Gothic" w:hAnsi="Century Gothic" w:eastAsia="Times New Roman" w:cs="Arial"/>
          <w:b/>
          <w:sz w:val="28"/>
          <w:szCs w:val="28"/>
        </w:rPr>
        <w:t>ASSET FORFEITURE</w:t>
      </w:r>
    </w:p>
    <w:p>
      <w:pPr>
        <w:shd w:val="clear" w:color="auto" w:fill="FFFFFF"/>
        <w:spacing w:after="300" w:line="360" w:lineRule="auto"/>
        <w:jc w:val="both"/>
        <w:rPr>
          <w:rFonts w:ascii="Century Gothic" w:hAnsi="Century Gothic" w:eastAsia="Times New Roman" w:cs="Arial"/>
          <w:sz w:val="28"/>
          <w:szCs w:val="28"/>
        </w:rPr>
      </w:pPr>
      <w:r>
        <w:rPr>
          <w:rFonts w:ascii="Century Gothic" w:hAnsi="Century Gothic" w:eastAsia="Times New Roman" w:cs="Arial"/>
          <w:sz w:val="28"/>
          <w:szCs w:val="28"/>
        </w:rPr>
        <w:t xml:space="preserve">This is a legal tool enabling the state to take possession of property involved in a crime. It is a step to be taken after seizure is made. </w:t>
      </w:r>
      <w:r>
        <w:rPr>
          <w:rFonts w:ascii="Century Gothic" w:hAnsi="Century Gothic" w:eastAsia="Times New Roman" w:cs="Arial"/>
          <w:bCs/>
          <w:sz w:val="28"/>
          <w:szCs w:val="28"/>
        </w:rPr>
        <w:t>Though Seizure and forfeiture constitute two unique, distinct legal processes, both terms share many similarities as they are put into effect when there is</w:t>
      </w:r>
      <w:r>
        <w:rPr>
          <w:rFonts w:ascii="Century Gothic" w:hAnsi="Century Gothic" w:eastAsia="Times New Roman" w:cs="Arial"/>
          <w:sz w:val="28"/>
          <w:szCs w:val="28"/>
        </w:rPr>
        <w:t xml:space="preserve"> evidence of an offense or when an Item is illegally possessed. </w:t>
      </w:r>
    </w:p>
    <w:p>
      <w:pPr>
        <w:shd w:val="clear" w:color="auto" w:fill="FFFFFF"/>
        <w:spacing w:after="300" w:line="360" w:lineRule="auto"/>
        <w:jc w:val="both"/>
        <w:rPr>
          <w:rFonts w:ascii="Century Gothic" w:hAnsi="Century Gothic" w:eastAsia="Times New Roman" w:cs="Arial"/>
          <w:sz w:val="28"/>
          <w:szCs w:val="28"/>
        </w:rPr>
      </w:pPr>
      <w:r>
        <w:rPr>
          <w:rFonts w:ascii="Century Gothic" w:hAnsi="Century Gothic" w:eastAsia="Times New Roman" w:cs="Arial"/>
          <w:sz w:val="28"/>
          <w:szCs w:val="28"/>
        </w:rPr>
        <w:t>They are also deployed when the item is a Proceed of crime or an Instrumentality of crime. In the cause of investigation, evidence gathered in this respect may form part of the particulars of facts to be deposed to by investigators in an application for forfeiture</w:t>
      </w:r>
    </w:p>
    <w:p>
      <w:pPr>
        <w:shd w:val="clear" w:color="auto" w:fill="FFFFFF"/>
        <w:spacing w:after="300" w:line="360" w:lineRule="auto"/>
        <w:jc w:val="both"/>
        <w:rPr>
          <w:rFonts w:ascii="Century Gothic" w:hAnsi="Century Gothic" w:eastAsia="Times New Roman" w:cs="Arial"/>
          <w:sz w:val="28"/>
          <w:szCs w:val="28"/>
        </w:rPr>
      </w:pPr>
      <w:r>
        <w:rPr>
          <w:rFonts w:ascii="Century Gothic" w:hAnsi="Century Gothic" w:eastAsia="Times New Roman" w:cs="Arial"/>
          <w:sz w:val="28"/>
          <w:szCs w:val="28"/>
        </w:rPr>
        <w:t>Forfeiture may be by way of a criminal forfeiture commenced during investigation or prosecution or upon conviction of an individual in a criminal trial (conviction based).</w:t>
      </w:r>
      <w:r>
        <w:rPr>
          <w:rFonts w:ascii="Century Gothic" w:hAnsi="Century Gothic" w:eastAsia="Times New Roman" w:cs="Arial"/>
          <w:sz w:val="28"/>
          <w:szCs w:val="28"/>
          <w:vertAlign w:val="superscript"/>
        </w:rPr>
        <w:t xml:space="preserve"> </w:t>
      </w:r>
      <w:r>
        <w:rPr>
          <w:rFonts w:ascii="Century Gothic" w:hAnsi="Century Gothic" w:eastAsia="Times New Roman" w:cs="Arial"/>
          <w:sz w:val="28"/>
          <w:szCs w:val="28"/>
        </w:rPr>
        <w:t xml:space="preserve"> The essence as stated earlier is to remove the profit motive from the crime and return property obtained illegally to the victims of the crime.  It also aims to punish the offender, deter illicit activity or crimes, and disrupt activities of illegal organization and restitution to the victims.</w:t>
      </w:r>
    </w:p>
    <w:p>
      <w:pPr>
        <w:shd w:val="clear" w:color="auto" w:fill="FFFFFF"/>
        <w:spacing w:after="300" w:line="360" w:lineRule="auto"/>
        <w:jc w:val="both"/>
        <w:rPr>
          <w:rFonts w:ascii="Century Gothic" w:hAnsi="Century Gothic" w:eastAsia="Times New Roman" w:cs="Arial"/>
          <w:sz w:val="28"/>
          <w:szCs w:val="28"/>
        </w:rPr>
      </w:pPr>
      <w:r>
        <w:rPr>
          <w:rFonts w:ascii="Century Gothic" w:hAnsi="Century Gothic" w:eastAsia="Times New Roman" w:cs="Arial"/>
          <w:sz w:val="28"/>
          <w:szCs w:val="28"/>
        </w:rPr>
        <w:t>It is therefore important for Investigators, to understand the objectives of forfeiture as such knowledge helps to provide understanding of how it helps to deter crimes. Therefore, on no account should forfeiture actions be instituted without a proper evidentiary and legal basis supporting the application for forfeiture.</w:t>
      </w:r>
    </w:p>
    <w:p>
      <w:pPr>
        <w:shd w:val="clear" w:color="auto" w:fill="FFFFFF"/>
        <w:spacing w:after="0" w:line="360" w:lineRule="auto"/>
        <w:jc w:val="both"/>
        <w:rPr>
          <w:rFonts w:ascii="Century Gothic" w:hAnsi="Century Gothic" w:eastAsia="Times New Roman" w:cs="Arial"/>
          <w:b/>
          <w:bCs/>
          <w:sz w:val="28"/>
          <w:szCs w:val="28"/>
        </w:rPr>
      </w:pPr>
      <w:r>
        <w:rPr>
          <w:rFonts w:ascii="Century Gothic" w:hAnsi="Century Gothic" w:eastAsia="Times New Roman" w:cs="Arial"/>
          <w:b/>
          <w:bCs/>
          <w:sz w:val="28"/>
          <w:szCs w:val="28"/>
        </w:rPr>
        <w:t xml:space="preserve">FILING FORFEITURE APPLICATION IN COURT </w:t>
      </w:r>
    </w:p>
    <w:p>
      <w:pPr>
        <w:shd w:val="clear" w:color="auto" w:fill="FFFFFF"/>
        <w:spacing w:after="300" w:line="360" w:lineRule="auto"/>
        <w:jc w:val="both"/>
        <w:rPr>
          <w:rFonts w:ascii="Century Gothic" w:hAnsi="Century Gothic" w:eastAsia="Times New Roman" w:cs="Arial"/>
          <w:sz w:val="28"/>
          <w:szCs w:val="28"/>
        </w:rPr>
      </w:pPr>
      <w:r>
        <w:rPr>
          <w:rFonts w:ascii="Century Gothic" w:hAnsi="Century Gothic" w:eastAsia="Times New Roman" w:cs="Arial"/>
          <w:sz w:val="28"/>
          <w:szCs w:val="28"/>
        </w:rPr>
        <w:t>Immediately the asset seized is secured, the officers must work in collaboration with prosecution to commence an action against the property. </w:t>
      </w:r>
    </w:p>
    <w:p>
      <w:pPr>
        <w:shd w:val="clear" w:color="auto" w:fill="FFFFFF"/>
        <w:spacing w:after="300" w:line="360" w:lineRule="auto"/>
        <w:jc w:val="both"/>
        <w:rPr>
          <w:rFonts w:ascii="Century Gothic" w:hAnsi="Century Gothic" w:eastAsia="Times New Roman" w:cs="Arial"/>
          <w:sz w:val="28"/>
          <w:szCs w:val="28"/>
        </w:rPr>
      </w:pPr>
      <w:r>
        <w:rPr>
          <w:rFonts w:ascii="Century Gothic" w:hAnsi="Century Gothic" w:eastAsiaTheme="majorEastAsia"/>
          <w:kern w:val="24"/>
          <w:sz w:val="28"/>
          <w:szCs w:val="28"/>
        </w:rPr>
        <w:t>The procedure for forfeiture is spelt out in legislation on asset recovery which include but not limited to the following:</w:t>
      </w:r>
    </w:p>
    <w:p>
      <w:pPr>
        <w:numPr>
          <w:ilvl w:val="0"/>
          <w:numId w:val="3"/>
        </w:numPr>
        <w:spacing w:after="0" w:line="360" w:lineRule="auto"/>
        <w:contextualSpacing/>
        <w:rPr>
          <w:rFonts w:ascii="Century Gothic" w:hAnsi="Century Gothic" w:eastAsia="Times New Roman" w:cs="Times New Roman"/>
          <w:sz w:val="28"/>
          <w:szCs w:val="28"/>
        </w:rPr>
      </w:pPr>
      <w:r>
        <w:rPr>
          <w:rFonts w:ascii="Century Gothic" w:hAnsi="Century Gothic" w:cs="Times New Roman" w:eastAsiaTheme="minorEastAsia"/>
          <w:kern w:val="24"/>
          <w:sz w:val="28"/>
          <w:szCs w:val="28"/>
        </w:rPr>
        <w:t>The EFCC Establishment Act 2004</w:t>
      </w:r>
    </w:p>
    <w:p>
      <w:pPr>
        <w:numPr>
          <w:ilvl w:val="0"/>
          <w:numId w:val="3"/>
        </w:numPr>
        <w:spacing w:after="0" w:line="360" w:lineRule="auto"/>
        <w:contextualSpacing/>
        <w:rPr>
          <w:rFonts w:ascii="Century Gothic" w:hAnsi="Century Gothic" w:eastAsia="Times New Roman" w:cs="Times New Roman"/>
          <w:sz w:val="28"/>
          <w:szCs w:val="28"/>
        </w:rPr>
      </w:pPr>
      <w:r>
        <w:rPr>
          <w:rFonts w:ascii="Century Gothic" w:hAnsi="Century Gothic" w:cs="Times New Roman" w:eastAsiaTheme="minorEastAsia"/>
          <w:kern w:val="24"/>
          <w:sz w:val="28"/>
          <w:szCs w:val="28"/>
        </w:rPr>
        <w:t>The Advance Fee Fraud and Other Fraud related Offences Act, 2006</w:t>
      </w:r>
    </w:p>
    <w:p>
      <w:pPr>
        <w:numPr>
          <w:ilvl w:val="0"/>
          <w:numId w:val="3"/>
        </w:numPr>
        <w:spacing w:after="0" w:line="360" w:lineRule="auto"/>
        <w:contextualSpacing/>
        <w:rPr>
          <w:rFonts w:ascii="Century Gothic" w:hAnsi="Century Gothic" w:eastAsia="Times New Roman" w:cs="Times New Roman"/>
          <w:sz w:val="28"/>
          <w:szCs w:val="28"/>
        </w:rPr>
      </w:pPr>
      <w:r>
        <w:rPr>
          <w:rFonts w:ascii="Century Gothic" w:hAnsi="Century Gothic" w:cs="Times New Roman" w:eastAsiaTheme="minorEastAsia"/>
          <w:kern w:val="24"/>
          <w:sz w:val="28"/>
          <w:szCs w:val="28"/>
        </w:rPr>
        <w:t>Administration of Criminal Justice Act, 2015</w:t>
      </w:r>
    </w:p>
    <w:p>
      <w:pPr>
        <w:numPr>
          <w:ilvl w:val="0"/>
          <w:numId w:val="3"/>
        </w:numPr>
        <w:spacing w:after="0" w:line="360" w:lineRule="auto"/>
        <w:contextualSpacing/>
        <w:rPr>
          <w:rFonts w:ascii="Century Gothic" w:hAnsi="Century Gothic" w:eastAsia="Times New Roman" w:cs="Times New Roman"/>
          <w:sz w:val="28"/>
          <w:szCs w:val="28"/>
        </w:rPr>
      </w:pPr>
      <w:r>
        <w:rPr>
          <w:rFonts w:ascii="Century Gothic" w:hAnsi="Century Gothic" w:cs="Times New Roman" w:eastAsiaTheme="minorEastAsia"/>
          <w:kern w:val="24"/>
          <w:sz w:val="28"/>
          <w:szCs w:val="28"/>
        </w:rPr>
        <w:t>Money Laundering Prohibition Act 2015</w:t>
      </w:r>
    </w:p>
    <w:p>
      <w:pPr>
        <w:numPr>
          <w:ilvl w:val="0"/>
          <w:numId w:val="3"/>
        </w:numPr>
        <w:spacing w:after="0" w:line="360" w:lineRule="auto"/>
        <w:contextualSpacing/>
        <w:rPr>
          <w:rFonts w:ascii="Century Gothic" w:hAnsi="Century Gothic" w:eastAsia="Times New Roman" w:cs="Times New Roman"/>
          <w:sz w:val="28"/>
          <w:szCs w:val="28"/>
        </w:rPr>
      </w:pPr>
      <w:r>
        <w:rPr>
          <w:rFonts w:ascii="Century Gothic" w:hAnsi="Century Gothic" w:cs="Times New Roman" w:eastAsiaTheme="minorEastAsia"/>
          <w:kern w:val="24"/>
          <w:sz w:val="28"/>
          <w:szCs w:val="28"/>
        </w:rPr>
        <w:t>Proceeds of Crimes Management Act 2022</w:t>
      </w:r>
    </w:p>
    <w:p>
      <w:pPr>
        <w:numPr>
          <w:ilvl w:val="0"/>
          <w:numId w:val="3"/>
        </w:numPr>
        <w:spacing w:after="0" w:line="360" w:lineRule="auto"/>
        <w:contextualSpacing/>
        <w:rPr>
          <w:rFonts w:ascii="Century Gothic" w:hAnsi="Century Gothic" w:eastAsia="Times New Roman" w:cs="Times New Roman"/>
          <w:sz w:val="28"/>
          <w:szCs w:val="28"/>
        </w:rPr>
      </w:pPr>
      <w:r>
        <w:rPr>
          <w:rFonts w:ascii="Century Gothic" w:hAnsi="Century Gothic" w:cs="Times New Roman" w:eastAsiaTheme="minorEastAsia"/>
          <w:kern w:val="24"/>
          <w:sz w:val="28"/>
          <w:szCs w:val="28"/>
        </w:rPr>
        <w:t>Criminal procedure laws of the southern states</w:t>
      </w:r>
    </w:p>
    <w:p>
      <w:pPr>
        <w:numPr>
          <w:ilvl w:val="0"/>
          <w:numId w:val="3"/>
        </w:numPr>
        <w:spacing w:after="0" w:line="360" w:lineRule="auto"/>
        <w:contextualSpacing/>
        <w:rPr>
          <w:rFonts w:ascii="Century Gothic" w:hAnsi="Century Gothic" w:eastAsia="Times New Roman" w:cs="Times New Roman"/>
          <w:sz w:val="28"/>
          <w:szCs w:val="28"/>
        </w:rPr>
      </w:pPr>
      <w:r>
        <w:rPr>
          <w:rFonts w:ascii="Century Gothic" w:hAnsi="Century Gothic" w:cs="Times New Roman" w:eastAsiaTheme="minorEastAsia"/>
          <w:kern w:val="24"/>
          <w:sz w:val="28"/>
          <w:szCs w:val="28"/>
        </w:rPr>
        <w:t>Criminal procedure code of Northern states</w:t>
      </w:r>
    </w:p>
    <w:p>
      <w:pPr>
        <w:spacing w:after="0" w:line="360" w:lineRule="auto"/>
        <w:ind w:left="720"/>
        <w:contextualSpacing/>
        <w:rPr>
          <w:rFonts w:ascii="Century Gothic" w:hAnsi="Century Gothic" w:eastAsia="Times New Roman" w:cs="Times New Roman"/>
          <w:sz w:val="28"/>
          <w:szCs w:val="28"/>
        </w:rPr>
      </w:pPr>
    </w:p>
    <w:p>
      <w:pPr>
        <w:shd w:val="clear" w:color="auto" w:fill="FFFFFF"/>
        <w:spacing w:after="300" w:line="360" w:lineRule="auto"/>
        <w:jc w:val="both"/>
        <w:rPr>
          <w:rFonts w:ascii="Century Gothic" w:hAnsi="Century Gothic" w:eastAsia="Times New Roman" w:cs="Arial"/>
          <w:sz w:val="28"/>
          <w:szCs w:val="28"/>
        </w:rPr>
      </w:pPr>
      <w:r>
        <w:rPr>
          <w:rFonts w:ascii="Century Gothic" w:hAnsi="Century Gothic" w:eastAsia="Times New Roman" w:cs="Arial"/>
          <w:sz w:val="28"/>
          <w:szCs w:val="28"/>
        </w:rPr>
        <w:t xml:space="preserve">An action for forfeiture can be conviction based and non-conviction based depending on evidence available to the investigator and the circumstance through which the asset came into possession of the Commission. The procedure for both are different. </w:t>
      </w:r>
    </w:p>
    <w:p>
      <w:pPr>
        <w:shd w:val="clear" w:color="auto" w:fill="FFFFFF"/>
        <w:spacing w:after="0" w:line="360" w:lineRule="auto"/>
        <w:jc w:val="both"/>
        <w:rPr>
          <w:rFonts w:ascii="Century Gothic" w:hAnsi="Century Gothic" w:eastAsia="Times New Roman" w:cs="Arial"/>
          <w:b/>
          <w:sz w:val="28"/>
          <w:szCs w:val="28"/>
        </w:rPr>
      </w:pPr>
      <w:r>
        <w:rPr>
          <w:rFonts w:ascii="Century Gothic" w:hAnsi="Century Gothic" w:eastAsia="Times New Roman" w:cs="Arial"/>
          <w:b/>
          <w:sz w:val="28"/>
          <w:szCs w:val="28"/>
          <w:lang w:val="en-GB"/>
        </w:rPr>
        <w:t>CONVICTION BASED FORFEITURE UNDER THE EFCC ESTABLISHMENT ACT</w:t>
      </w:r>
    </w:p>
    <w:p>
      <w:pPr>
        <w:shd w:val="clear" w:color="auto" w:fill="FFFFFF"/>
        <w:spacing w:after="0" w:line="360" w:lineRule="auto"/>
        <w:jc w:val="both"/>
        <w:rPr>
          <w:rFonts w:ascii="Century Gothic" w:hAnsi="Century Gothic" w:eastAsia="Times New Roman" w:cs="Arial"/>
          <w:sz w:val="28"/>
          <w:szCs w:val="28"/>
          <w:lang w:val="en-GB"/>
        </w:rPr>
      </w:pPr>
      <w:r>
        <w:rPr>
          <w:rFonts w:ascii="Century Gothic" w:hAnsi="Century Gothic" w:eastAsia="Times New Roman" w:cs="Arial"/>
          <w:sz w:val="28"/>
          <w:szCs w:val="28"/>
          <w:lang w:val="en-GB"/>
        </w:rPr>
        <w:t xml:space="preserve"> This is usually preceded by obtaining Interim forfeiture of assets that are of criminal origin or instrumentality of crime or Bank accounts linked to an accused pending investigation or prosecution of criminal case in court. </w:t>
      </w:r>
    </w:p>
    <w:p>
      <w:pPr>
        <w:spacing w:after="0" w:line="360" w:lineRule="auto"/>
        <w:contextualSpacing/>
        <w:jc w:val="both"/>
        <w:rPr>
          <w:rFonts w:ascii="Century Gothic" w:hAnsi="Century Gothic" w:cs="Times New Roman" w:eastAsiaTheme="minorEastAsia"/>
          <w:kern w:val="24"/>
          <w:sz w:val="28"/>
          <w:szCs w:val="28"/>
        </w:rPr>
      </w:pPr>
    </w:p>
    <w:p>
      <w:pPr>
        <w:spacing w:after="0" w:line="360" w:lineRule="auto"/>
        <w:contextualSpacing/>
        <w:jc w:val="both"/>
        <w:rPr>
          <w:rFonts w:ascii="Century Gothic" w:hAnsi="Century Gothic" w:cs="Times New Roman" w:eastAsiaTheme="minorEastAsia"/>
          <w:kern w:val="24"/>
          <w:sz w:val="28"/>
          <w:szCs w:val="28"/>
        </w:rPr>
      </w:pPr>
      <w:r>
        <w:rPr>
          <w:rFonts w:ascii="Century Gothic" w:hAnsi="Century Gothic" w:cs="Times New Roman" w:eastAsiaTheme="minorEastAsia"/>
          <w:kern w:val="24"/>
          <w:sz w:val="28"/>
          <w:szCs w:val="28"/>
        </w:rPr>
        <w:t>Section 28 of the EFCC (Est) Act 2004 provides that Where a person is arrested for an offence under this Act, the EFCC shall Immediately trace and attach all the assets and property of the person acquired as a result of such economic and financial crime.</w:t>
      </w:r>
    </w:p>
    <w:p>
      <w:pPr>
        <w:spacing w:after="0" w:line="360" w:lineRule="auto"/>
        <w:contextualSpacing/>
        <w:jc w:val="both"/>
        <w:rPr>
          <w:rFonts w:ascii="Century Gothic" w:hAnsi="Century Gothic" w:eastAsia="Times New Roman" w:cs="Times New Roman"/>
          <w:sz w:val="28"/>
          <w:szCs w:val="28"/>
        </w:rPr>
      </w:pPr>
    </w:p>
    <w:p>
      <w:pPr>
        <w:spacing w:after="0" w:line="360" w:lineRule="auto"/>
        <w:contextualSpacing/>
        <w:jc w:val="both"/>
        <w:rPr>
          <w:rFonts w:ascii="Century Gothic" w:hAnsi="Century Gothic" w:eastAsia="Times New Roman" w:cs="Times New Roman"/>
          <w:sz w:val="28"/>
          <w:szCs w:val="28"/>
        </w:rPr>
      </w:pPr>
      <w:r>
        <w:rPr>
          <w:rFonts w:ascii="Century Gothic" w:hAnsi="Century Gothic" w:cs="Times New Roman" w:eastAsiaTheme="minorEastAsia"/>
          <w:kern w:val="24"/>
          <w:sz w:val="28"/>
          <w:szCs w:val="28"/>
        </w:rPr>
        <w:t xml:space="preserve">Thereafter it shall cause to be obtained an interim attachment order from the court. The </w:t>
      </w:r>
      <w:r>
        <w:rPr>
          <w:rFonts w:ascii="Century Gothic" w:hAnsi="Century Gothic" w:cs="Times New Roman" w:eastAsiaTheme="minorEastAsia"/>
          <w:b/>
          <w:bCs/>
          <w:kern w:val="24"/>
          <w:sz w:val="28"/>
          <w:szCs w:val="28"/>
        </w:rPr>
        <w:t>procedure</w:t>
      </w:r>
      <w:r>
        <w:rPr>
          <w:rFonts w:ascii="Century Gothic" w:hAnsi="Century Gothic" w:cs="Times New Roman" w:eastAsiaTheme="minorEastAsia"/>
          <w:kern w:val="24"/>
          <w:sz w:val="28"/>
          <w:szCs w:val="28"/>
        </w:rPr>
        <w:t xml:space="preserve"> is by way of </w:t>
      </w:r>
      <w:r>
        <w:rPr>
          <w:rFonts w:ascii="Century Gothic" w:hAnsi="Century Gothic" w:cs="Times New Roman" w:eastAsiaTheme="minorEastAsia"/>
          <w:i/>
          <w:kern w:val="24"/>
          <w:sz w:val="28"/>
          <w:szCs w:val="28"/>
        </w:rPr>
        <w:t>exparte</w:t>
      </w:r>
      <w:r>
        <w:rPr>
          <w:rFonts w:ascii="Century Gothic" w:hAnsi="Century Gothic" w:cs="Times New Roman" w:eastAsiaTheme="minorEastAsia"/>
          <w:kern w:val="24"/>
          <w:sz w:val="28"/>
          <w:szCs w:val="28"/>
        </w:rPr>
        <w:t xml:space="preserve"> application to court supported by an affidavit.  See section 29 of the Act</w:t>
      </w:r>
    </w:p>
    <w:p>
      <w:pPr>
        <w:spacing w:after="0" w:line="360" w:lineRule="auto"/>
        <w:ind w:left="1267"/>
        <w:contextualSpacing/>
        <w:rPr>
          <w:rFonts w:ascii="Century Gothic" w:hAnsi="Century Gothic" w:eastAsia="Times New Roman" w:cs="Times New Roman"/>
          <w:sz w:val="28"/>
          <w:szCs w:val="28"/>
        </w:rPr>
      </w:pPr>
    </w:p>
    <w:p>
      <w:pPr>
        <w:spacing w:after="0" w:line="360" w:lineRule="auto"/>
        <w:contextualSpacing/>
        <w:rPr>
          <w:rFonts w:ascii="Century Gothic" w:hAnsi="Century Gothic" w:eastAsia="Times New Roman" w:cs="Times New Roman"/>
          <w:sz w:val="28"/>
          <w:szCs w:val="28"/>
        </w:rPr>
      </w:pPr>
      <w:r>
        <w:rPr>
          <w:rFonts w:ascii="Century Gothic" w:hAnsi="Century Gothic" w:cs="Times New Roman" w:eastAsiaTheme="minorEastAsia"/>
          <w:kern w:val="24"/>
          <w:sz w:val="28"/>
          <w:szCs w:val="28"/>
        </w:rPr>
        <w:t>The Act also provide in Section 34 for Freezing order on banks or other financial institutions. It states that:</w:t>
      </w:r>
    </w:p>
    <w:p>
      <w:pPr>
        <w:spacing w:after="0" w:line="360" w:lineRule="auto"/>
        <w:ind w:left="1267"/>
        <w:contextualSpacing/>
        <w:rPr>
          <w:rFonts w:ascii="Century Gothic" w:hAnsi="Century Gothic" w:eastAsia="Times New Roman" w:cs="Times New Roman"/>
          <w:sz w:val="28"/>
          <w:szCs w:val="28"/>
        </w:rPr>
      </w:pPr>
      <w:r>
        <w:rPr>
          <w:rFonts w:ascii="Century Gothic" w:hAnsi="Century Gothic" w:cs="Times New Roman" w:eastAsiaTheme="minorEastAsia"/>
          <w:kern w:val="24"/>
          <w:sz w:val="28"/>
          <w:szCs w:val="28"/>
        </w:rPr>
        <w:t xml:space="preserve">‘’The Chairman of the Commission or any officer authorized by him may, if satisfied that the money in the account of a person is made through the commission of an offence under this Act or any enactments apply to the </w:t>
      </w:r>
      <w:r>
        <w:rPr>
          <w:rFonts w:ascii="Century Gothic" w:hAnsi="Century Gothic" w:cs="Times New Roman" w:eastAsiaTheme="minorEastAsia"/>
          <w:b/>
          <w:bCs/>
          <w:kern w:val="24"/>
          <w:sz w:val="28"/>
          <w:szCs w:val="28"/>
        </w:rPr>
        <w:t xml:space="preserve">Court ex-parte </w:t>
      </w:r>
      <w:r>
        <w:rPr>
          <w:rFonts w:ascii="Century Gothic" w:hAnsi="Century Gothic" w:cs="Times New Roman" w:eastAsiaTheme="minorEastAsia"/>
          <w:kern w:val="24"/>
          <w:sz w:val="28"/>
          <w:szCs w:val="28"/>
        </w:rPr>
        <w:t>for power to issue or instruct a bank to freeze an account’’.</w:t>
      </w:r>
    </w:p>
    <w:p>
      <w:pPr>
        <w:shd w:val="clear" w:color="auto" w:fill="FFFFFF"/>
        <w:spacing w:after="0" w:line="360" w:lineRule="auto"/>
        <w:jc w:val="both"/>
        <w:rPr>
          <w:rFonts w:ascii="Century Gothic" w:hAnsi="Century Gothic" w:eastAsia="Times New Roman" w:cs="Arial"/>
          <w:sz w:val="28"/>
          <w:szCs w:val="28"/>
        </w:rPr>
      </w:pPr>
      <w:r>
        <w:rPr>
          <w:rFonts w:ascii="Century Gothic" w:hAnsi="Century Gothic" w:eastAsia="Times New Roman" w:cs="Arial"/>
          <w:sz w:val="28"/>
          <w:szCs w:val="28"/>
          <w:lang w:val="en-GB"/>
        </w:rPr>
        <w:t xml:space="preserve">This is commenced by way of </w:t>
      </w:r>
      <w:r>
        <w:rPr>
          <w:rFonts w:ascii="Century Gothic" w:hAnsi="Century Gothic" w:eastAsia="Times New Roman" w:cs="Arial"/>
          <w:i/>
          <w:sz w:val="28"/>
          <w:szCs w:val="28"/>
          <w:lang w:val="en-GB"/>
        </w:rPr>
        <w:t>exparte</w:t>
      </w:r>
      <w:r>
        <w:rPr>
          <w:rFonts w:ascii="Century Gothic" w:hAnsi="Century Gothic" w:eastAsia="Times New Roman" w:cs="Arial"/>
          <w:sz w:val="28"/>
          <w:szCs w:val="28"/>
          <w:lang w:val="en-GB"/>
        </w:rPr>
        <w:t xml:space="preserve"> application supported by an affidavit </w:t>
      </w:r>
      <w:r>
        <w:rPr>
          <w:rFonts w:ascii="Century Gothic" w:hAnsi="Century Gothic" w:cs="Times New Roman" w:eastAsiaTheme="minorEastAsia"/>
          <w:kern w:val="24"/>
          <w:sz w:val="28"/>
          <w:szCs w:val="28"/>
        </w:rPr>
        <w:t>to freeze the account(s) or other asset found to be proceeds of crime belonging to a person being investigated</w:t>
      </w:r>
      <w:r>
        <w:rPr>
          <w:rFonts w:ascii="Century Gothic" w:hAnsi="Century Gothic" w:eastAsia="Times New Roman" w:cs="Arial"/>
          <w:sz w:val="28"/>
          <w:szCs w:val="28"/>
          <w:lang w:val="en-GB"/>
        </w:rPr>
        <w:t>. See section 28, 29 and 34 of EFCC (Establishment) Act 2004.</w:t>
      </w:r>
    </w:p>
    <w:p>
      <w:pPr>
        <w:shd w:val="clear" w:color="auto" w:fill="FFFFFF"/>
        <w:spacing w:after="300" w:line="360" w:lineRule="auto"/>
        <w:jc w:val="both"/>
        <w:rPr>
          <w:rFonts w:ascii="Century Gothic" w:hAnsi="Century Gothic" w:eastAsia="Times New Roman" w:cs="Arial"/>
          <w:sz w:val="28"/>
          <w:szCs w:val="28"/>
        </w:rPr>
      </w:pPr>
      <w:r>
        <w:rPr>
          <w:rFonts w:ascii="Century Gothic" w:hAnsi="Century Gothic" w:eastAsia="Times New Roman" w:cs="Arial"/>
          <w:sz w:val="28"/>
          <w:szCs w:val="28"/>
        </w:rPr>
        <w:t xml:space="preserve">Thus, for an account to be frozen, the officer must be satisfied that the money in the account of a person is made through the commission of crime before approaching the court vide an </w:t>
      </w:r>
      <w:r>
        <w:rPr>
          <w:rFonts w:ascii="Century Gothic" w:hAnsi="Century Gothic" w:eastAsia="Times New Roman" w:cs="Arial"/>
          <w:i/>
          <w:sz w:val="28"/>
          <w:szCs w:val="28"/>
        </w:rPr>
        <w:t xml:space="preserve">exparte </w:t>
      </w:r>
      <w:r>
        <w:rPr>
          <w:rFonts w:ascii="Century Gothic" w:hAnsi="Century Gothic" w:eastAsia="Times New Roman" w:cs="Arial"/>
          <w:sz w:val="28"/>
          <w:szCs w:val="28"/>
        </w:rPr>
        <w:t>application.</w:t>
      </w:r>
    </w:p>
    <w:p>
      <w:pPr>
        <w:shd w:val="clear" w:color="auto" w:fill="FFFFFF"/>
        <w:spacing w:after="300" w:line="360" w:lineRule="auto"/>
        <w:jc w:val="both"/>
        <w:rPr>
          <w:rFonts w:ascii="Century Gothic" w:hAnsi="Century Gothic" w:eastAsia="Times New Roman" w:cs="Arial"/>
          <w:sz w:val="28"/>
          <w:szCs w:val="28"/>
        </w:rPr>
      </w:pPr>
      <w:r>
        <w:rPr>
          <w:rFonts w:ascii="Century Gothic" w:hAnsi="Century Gothic" w:eastAsia="Times New Roman" w:cs="Arial"/>
          <w:sz w:val="28"/>
          <w:szCs w:val="28"/>
        </w:rPr>
        <w:t>Final forfeiture comes at the end of trial where the defendant is found guilty of an offence and assets linked to the crime under interim forfeiture will be forfeited finally by the court for the purpose of restitution of the victims of the crime.</w:t>
      </w:r>
      <w:r>
        <w:rPr>
          <w:rFonts w:ascii="Century Gothic" w:hAnsi="Century Gothic" w:eastAsia="Times New Roman" w:cs="Arial"/>
          <w:b/>
          <w:bCs/>
          <w:sz w:val="28"/>
          <w:szCs w:val="28"/>
        </w:rPr>
        <w:t xml:space="preserve"> See Section 20 EFCC Act.</w:t>
      </w:r>
    </w:p>
    <w:p>
      <w:pPr>
        <w:spacing w:after="0" w:line="360" w:lineRule="auto"/>
        <w:contextualSpacing/>
        <w:jc w:val="both"/>
        <w:rPr>
          <w:rFonts w:ascii="Century Gothic" w:hAnsi="Century Gothic" w:cs="Times New Roman" w:eastAsiaTheme="minorEastAsia"/>
          <w:kern w:val="24"/>
          <w:sz w:val="28"/>
          <w:szCs w:val="28"/>
        </w:rPr>
      </w:pPr>
      <w:r>
        <w:rPr>
          <w:rFonts w:ascii="Century Gothic" w:hAnsi="Century Gothic" w:eastAsiaTheme="minorEastAsia"/>
          <w:b/>
          <w:kern w:val="24"/>
          <w:sz w:val="28"/>
          <w:szCs w:val="28"/>
        </w:rPr>
        <w:t>Civil forfeiture or Non conviction based asset recovery</w:t>
      </w:r>
      <w:r>
        <w:rPr>
          <w:rFonts w:ascii="Century Gothic" w:hAnsi="Century Gothic" w:eastAsiaTheme="minorEastAsia"/>
          <w:kern w:val="24"/>
          <w:sz w:val="28"/>
          <w:szCs w:val="28"/>
        </w:rPr>
        <w:t xml:space="preserve"> on the other hand is a civil process for forfeiture of assets. It is an effective tool in any asset recovery regime.</w:t>
      </w:r>
      <w:r>
        <w:rPr>
          <w:rFonts w:ascii="Century Gothic" w:hAnsi="Century Gothic" w:eastAsia="Times New Roman" w:cs="Times New Roman"/>
          <w:sz w:val="28"/>
          <w:szCs w:val="28"/>
        </w:rPr>
        <w:t xml:space="preserve"> Civil forfeiture of assets has emerged as the preferred mechanism for tackling serious crimes in many jurisdictions. The </w:t>
      </w:r>
      <w:r>
        <w:rPr>
          <w:rFonts w:ascii="Century Gothic" w:hAnsi="Century Gothic" w:cs="Times New Roman" w:eastAsiaTheme="minorEastAsia"/>
          <w:kern w:val="24"/>
          <w:sz w:val="28"/>
          <w:szCs w:val="28"/>
        </w:rPr>
        <w:t>EFCC has utilized the Non Conviction based civil forfeiture provision under Section 17 of the Advance Fee Fraud and Other Fraud Related Offences Act 2006 to forfeit corruptly acquired assets. The section applies in the case of unclaimed property or any property reasonably suspected to be proceeds of unlawful activities under the Money Laundering Prohibition Act 2004 or the EFCC Act 2004.</w:t>
      </w:r>
    </w:p>
    <w:p>
      <w:pPr>
        <w:widowControl w:val="0"/>
        <w:tabs>
          <w:tab w:val="left" w:pos="802"/>
          <w:tab w:val="left" w:pos="804"/>
        </w:tabs>
        <w:autoSpaceDE w:val="0"/>
        <w:autoSpaceDN w:val="0"/>
        <w:spacing w:before="132" w:after="0" w:line="360" w:lineRule="auto"/>
        <w:jc w:val="both"/>
        <w:rPr>
          <w:rFonts w:ascii="Century Gothic" w:hAnsi="Century Gothic" w:cs="Times New Roman"/>
          <w:sz w:val="28"/>
          <w:szCs w:val="28"/>
        </w:rPr>
      </w:pPr>
      <w:r>
        <w:rPr>
          <w:rFonts w:ascii="Century Gothic" w:hAnsi="Century Gothic" w:cs="Times New Roman" w:eastAsiaTheme="minorEastAsia"/>
          <w:kern w:val="24"/>
          <w:sz w:val="28"/>
          <w:szCs w:val="28"/>
        </w:rPr>
        <w:t>A comprehensive provision on Non Conviction based civil forfeiture is embedded in the recently enacted Proceeds of Crimes (management) Act 2022. The Act has introduced new provisions bordering on seizure and forfeiture of assets. Under the non-conviction based proceedings, there is the requirement of obtaining preservation order for properties involved in the proceedings.</w:t>
      </w:r>
      <w:r>
        <w:rPr>
          <w:rFonts w:ascii="Century Gothic" w:hAnsi="Century Gothic" w:cs="Times New Roman"/>
          <w:w w:val="105"/>
          <w:sz w:val="28"/>
          <w:szCs w:val="28"/>
        </w:rPr>
        <w:t xml:space="preserve"> </w:t>
      </w:r>
    </w:p>
    <w:p>
      <w:pPr>
        <w:widowControl w:val="0"/>
        <w:tabs>
          <w:tab w:val="left" w:pos="802"/>
          <w:tab w:val="left" w:pos="804"/>
        </w:tabs>
        <w:autoSpaceDE w:val="0"/>
        <w:autoSpaceDN w:val="0"/>
        <w:spacing w:before="132" w:after="0" w:line="360" w:lineRule="auto"/>
        <w:jc w:val="both"/>
        <w:rPr>
          <w:rFonts w:ascii="Century Gothic" w:hAnsi="Century Gothic" w:cs="Times New Roman"/>
          <w:w w:val="105"/>
          <w:sz w:val="28"/>
          <w:szCs w:val="28"/>
        </w:rPr>
      </w:pPr>
      <w:r>
        <w:rPr>
          <w:rFonts w:ascii="Century Gothic" w:hAnsi="Century Gothic" w:cs="Times New Roman"/>
          <w:sz w:val="28"/>
          <w:szCs w:val="28"/>
        </w:rPr>
        <w:t>Thus perishable or depreciating items under preservative order can be disposed of under the Act.</w:t>
      </w:r>
      <w:r>
        <w:rPr>
          <w:rFonts w:ascii="Century Gothic" w:hAnsi="Century Gothic" w:cs="Times New Roman"/>
          <w:w w:val="105"/>
          <w:sz w:val="28"/>
          <w:szCs w:val="28"/>
        </w:rPr>
        <w:t xml:space="preserve"> The section provides:</w:t>
      </w:r>
    </w:p>
    <w:p>
      <w:pPr>
        <w:widowControl w:val="0"/>
        <w:tabs>
          <w:tab w:val="left" w:pos="802"/>
          <w:tab w:val="left" w:pos="804"/>
        </w:tabs>
        <w:autoSpaceDE w:val="0"/>
        <w:autoSpaceDN w:val="0"/>
        <w:spacing w:before="132" w:after="0" w:line="360" w:lineRule="auto"/>
        <w:ind w:left="709"/>
        <w:jc w:val="both"/>
        <w:rPr>
          <w:rFonts w:ascii="Century Gothic" w:hAnsi="Century Gothic" w:cs="Times New Roman"/>
          <w:w w:val="105"/>
          <w:sz w:val="28"/>
          <w:szCs w:val="28"/>
        </w:rPr>
      </w:pPr>
      <w:r>
        <w:rPr>
          <w:rFonts w:ascii="Century Gothic" w:hAnsi="Century Gothic" w:cs="Times New Roman"/>
          <w:w w:val="105"/>
          <w:sz w:val="28"/>
          <w:szCs w:val="28"/>
        </w:rPr>
        <w:t>“Where there are reasonable grounds to believe that a property, which is subject to a preservation order, may have its value diminished, or be disposed of, destroyed, or damaged, removed contrary to the Order or may deteriorate in terms of quality or utility”</w:t>
      </w:r>
    </w:p>
    <w:p>
      <w:pPr>
        <w:widowControl w:val="0"/>
        <w:tabs>
          <w:tab w:val="left" w:pos="802"/>
          <w:tab w:val="left" w:pos="804"/>
        </w:tabs>
        <w:autoSpaceDE w:val="0"/>
        <w:autoSpaceDN w:val="0"/>
        <w:spacing w:after="0" w:line="360" w:lineRule="auto"/>
        <w:jc w:val="both"/>
        <w:rPr>
          <w:rFonts w:ascii="Century Gothic" w:hAnsi="Century Gothic" w:cs="Times New Roman"/>
          <w:w w:val="105"/>
          <w:sz w:val="28"/>
          <w:szCs w:val="28"/>
        </w:rPr>
      </w:pPr>
    </w:p>
    <w:p>
      <w:pPr>
        <w:widowControl w:val="0"/>
        <w:tabs>
          <w:tab w:val="left" w:pos="802"/>
          <w:tab w:val="left" w:pos="804"/>
        </w:tabs>
        <w:autoSpaceDE w:val="0"/>
        <w:autoSpaceDN w:val="0"/>
        <w:spacing w:after="0" w:line="360" w:lineRule="auto"/>
        <w:jc w:val="both"/>
        <w:rPr>
          <w:rFonts w:ascii="Century Gothic" w:hAnsi="Century Gothic" w:cs="Times New Roman"/>
          <w:sz w:val="28"/>
          <w:szCs w:val="28"/>
        </w:rPr>
      </w:pPr>
      <w:r>
        <w:rPr>
          <w:rFonts w:ascii="Century Gothic" w:hAnsi="Century Gothic" w:cs="Times New Roman"/>
          <w:w w:val="105"/>
          <w:sz w:val="28"/>
          <w:szCs w:val="28"/>
        </w:rPr>
        <w:t>Proceeds from such sales are to be paid into a designated interest yielding account pending the determination of the proceedings. The court can also order that managers should be appointed to assume control and administer the property pending the time that the Relevant Organization may apply to the Court for a forfeiture order against all or any part of the property that is subject to the preservation order</w:t>
      </w:r>
    </w:p>
    <w:p>
      <w:pPr>
        <w:shd w:val="clear" w:color="auto" w:fill="FFFFFF"/>
        <w:spacing w:after="300" w:line="360" w:lineRule="auto"/>
        <w:jc w:val="both"/>
        <w:rPr>
          <w:rFonts w:ascii="Century Gothic" w:hAnsi="Century Gothic" w:eastAsia="Times New Roman" w:cs="Arial"/>
          <w:sz w:val="28"/>
          <w:szCs w:val="28"/>
        </w:rPr>
      </w:pPr>
      <w:r>
        <w:rPr>
          <w:rFonts w:ascii="Century Gothic" w:hAnsi="Century Gothic" w:eastAsia="Times New Roman" w:cs="Arial"/>
          <w:sz w:val="28"/>
          <w:szCs w:val="28"/>
        </w:rPr>
        <w:t>It is important to stress that the investigators must have at the back of their minds that proof of any crime does not apply to civil forfeiture  Whatever forfeiture option intended to be undertaken, the investigators and prosecutors should ensure that:-</w:t>
      </w:r>
    </w:p>
    <w:p>
      <w:pPr>
        <w:pStyle w:val="12"/>
        <w:numPr>
          <w:ilvl w:val="0"/>
          <w:numId w:val="4"/>
        </w:numPr>
        <w:shd w:val="clear" w:color="auto" w:fill="FFFFFF"/>
        <w:spacing w:after="300" w:line="360" w:lineRule="auto"/>
        <w:jc w:val="both"/>
        <w:rPr>
          <w:rFonts w:ascii="Century Gothic" w:hAnsi="Century Gothic" w:eastAsia="Times New Roman" w:cs="Arial"/>
          <w:sz w:val="28"/>
          <w:szCs w:val="28"/>
        </w:rPr>
      </w:pPr>
      <w:r>
        <w:rPr>
          <w:rFonts w:ascii="Century Gothic" w:hAnsi="Century Gothic" w:eastAsia="Times New Roman" w:cs="Arial"/>
          <w:sz w:val="28"/>
          <w:szCs w:val="28"/>
        </w:rPr>
        <w:t>there is factual basis for suspicion that funds / property is proceeds of Criminal violation</w:t>
      </w:r>
    </w:p>
    <w:p>
      <w:pPr>
        <w:pStyle w:val="12"/>
        <w:numPr>
          <w:ilvl w:val="0"/>
          <w:numId w:val="4"/>
        </w:numPr>
        <w:shd w:val="clear" w:color="auto" w:fill="FFFFFF"/>
        <w:spacing w:after="300" w:line="360" w:lineRule="auto"/>
        <w:jc w:val="both"/>
        <w:rPr>
          <w:rFonts w:ascii="Century Gothic" w:hAnsi="Century Gothic" w:eastAsia="Times New Roman" w:cs="Arial"/>
          <w:sz w:val="28"/>
          <w:szCs w:val="28"/>
        </w:rPr>
      </w:pPr>
      <w:r>
        <w:rPr>
          <w:rFonts w:ascii="Century Gothic" w:hAnsi="Century Gothic" w:eastAsia="Times New Roman" w:cs="Arial"/>
          <w:sz w:val="28"/>
          <w:szCs w:val="28"/>
        </w:rPr>
        <w:t>there is forfeiture provision for the crime</w:t>
      </w:r>
    </w:p>
    <w:p>
      <w:pPr>
        <w:pStyle w:val="12"/>
        <w:numPr>
          <w:ilvl w:val="0"/>
          <w:numId w:val="4"/>
        </w:numPr>
        <w:shd w:val="clear" w:color="auto" w:fill="FFFFFF"/>
        <w:spacing w:after="300" w:line="360" w:lineRule="auto"/>
        <w:jc w:val="both"/>
        <w:rPr>
          <w:rFonts w:ascii="Century Gothic" w:hAnsi="Century Gothic" w:eastAsia="Times New Roman" w:cs="Arial"/>
          <w:sz w:val="28"/>
          <w:szCs w:val="28"/>
        </w:rPr>
      </w:pPr>
      <w:r>
        <w:rPr>
          <w:rFonts w:ascii="Century Gothic" w:hAnsi="Century Gothic" w:eastAsia="Times New Roman" w:cs="Arial"/>
          <w:sz w:val="28"/>
          <w:szCs w:val="28"/>
        </w:rPr>
        <w:t>the property is forfeitable under the law</w:t>
      </w:r>
    </w:p>
    <w:p>
      <w:pPr>
        <w:pStyle w:val="12"/>
        <w:numPr>
          <w:ilvl w:val="0"/>
          <w:numId w:val="4"/>
        </w:numPr>
        <w:shd w:val="clear" w:color="auto" w:fill="FFFFFF"/>
        <w:spacing w:after="300" w:line="360" w:lineRule="auto"/>
        <w:jc w:val="both"/>
        <w:rPr>
          <w:rFonts w:ascii="Century Gothic" w:hAnsi="Century Gothic" w:eastAsia="Times New Roman" w:cs="Arial"/>
          <w:sz w:val="28"/>
          <w:szCs w:val="28"/>
        </w:rPr>
      </w:pPr>
      <w:r>
        <w:rPr>
          <w:rFonts w:ascii="Century Gothic" w:hAnsi="Century Gothic" w:eastAsia="Times New Roman" w:cs="Arial"/>
          <w:sz w:val="28"/>
          <w:szCs w:val="28"/>
        </w:rPr>
        <w:t>there is Evidence connecting the asset to the crime or violation</w:t>
      </w:r>
    </w:p>
    <w:p>
      <w:pPr>
        <w:pStyle w:val="12"/>
        <w:numPr>
          <w:ilvl w:val="0"/>
          <w:numId w:val="4"/>
        </w:numPr>
        <w:shd w:val="clear" w:color="auto" w:fill="FFFFFF"/>
        <w:spacing w:after="300" w:line="360" w:lineRule="auto"/>
        <w:jc w:val="both"/>
        <w:rPr>
          <w:rFonts w:ascii="Century Gothic" w:hAnsi="Century Gothic" w:eastAsia="Times New Roman" w:cs="Arial"/>
          <w:sz w:val="28"/>
          <w:szCs w:val="28"/>
        </w:rPr>
      </w:pPr>
      <w:r>
        <w:rPr>
          <w:rFonts w:ascii="Century Gothic" w:hAnsi="Century Gothic" w:eastAsia="Times New Roman" w:cs="Arial"/>
          <w:sz w:val="28"/>
          <w:szCs w:val="28"/>
        </w:rPr>
        <w:t>Procedure required for its seizure is complied with</w:t>
      </w:r>
    </w:p>
    <w:p>
      <w:pPr>
        <w:pStyle w:val="12"/>
        <w:numPr>
          <w:ilvl w:val="0"/>
          <w:numId w:val="4"/>
        </w:numPr>
        <w:shd w:val="clear" w:color="auto" w:fill="FFFFFF"/>
        <w:spacing w:after="300" w:line="360" w:lineRule="auto"/>
        <w:jc w:val="both"/>
        <w:rPr>
          <w:rFonts w:ascii="Century Gothic" w:hAnsi="Century Gothic" w:eastAsia="Times New Roman" w:cs="Arial"/>
          <w:sz w:val="28"/>
          <w:szCs w:val="28"/>
        </w:rPr>
      </w:pPr>
      <w:r>
        <w:rPr>
          <w:rFonts w:ascii="Century Gothic" w:hAnsi="Century Gothic" w:eastAsia="Times New Roman" w:cs="Arial"/>
          <w:sz w:val="28"/>
          <w:szCs w:val="28"/>
        </w:rPr>
        <w:t>the value of the property is ascertained</w:t>
      </w:r>
    </w:p>
    <w:p>
      <w:pPr>
        <w:pStyle w:val="12"/>
        <w:numPr>
          <w:ilvl w:val="0"/>
          <w:numId w:val="4"/>
        </w:numPr>
        <w:shd w:val="clear" w:color="auto" w:fill="FFFFFF"/>
        <w:spacing w:after="300" w:line="360" w:lineRule="auto"/>
        <w:jc w:val="both"/>
        <w:rPr>
          <w:rFonts w:ascii="Century Gothic" w:hAnsi="Century Gothic" w:eastAsia="Times New Roman" w:cs="Arial"/>
          <w:sz w:val="28"/>
          <w:szCs w:val="28"/>
        </w:rPr>
      </w:pPr>
      <w:r>
        <w:rPr>
          <w:rFonts w:ascii="Century Gothic" w:hAnsi="Century Gothic" w:eastAsia="Times New Roman" w:cs="Arial"/>
          <w:sz w:val="28"/>
          <w:szCs w:val="28"/>
        </w:rPr>
        <w:t>the location of the property is known</w:t>
      </w:r>
    </w:p>
    <w:p>
      <w:pPr>
        <w:pStyle w:val="12"/>
        <w:numPr>
          <w:ilvl w:val="0"/>
          <w:numId w:val="4"/>
        </w:numPr>
        <w:shd w:val="clear" w:color="auto" w:fill="FFFFFF"/>
        <w:spacing w:after="300" w:line="360" w:lineRule="auto"/>
        <w:jc w:val="both"/>
        <w:rPr>
          <w:rFonts w:ascii="Century Gothic" w:hAnsi="Century Gothic" w:eastAsia="Times New Roman" w:cs="Arial"/>
          <w:sz w:val="28"/>
          <w:szCs w:val="28"/>
        </w:rPr>
      </w:pPr>
      <w:r>
        <w:rPr>
          <w:rFonts w:ascii="Century Gothic" w:hAnsi="Century Gothic" w:eastAsia="Times New Roman" w:cs="Arial"/>
          <w:sz w:val="28"/>
          <w:szCs w:val="28"/>
        </w:rPr>
        <w:t>the person in control of the property is ascertained</w:t>
      </w:r>
    </w:p>
    <w:p>
      <w:pPr>
        <w:pStyle w:val="12"/>
        <w:numPr>
          <w:ilvl w:val="0"/>
          <w:numId w:val="4"/>
        </w:numPr>
        <w:shd w:val="clear" w:color="auto" w:fill="FFFFFF"/>
        <w:spacing w:after="300" w:line="360" w:lineRule="auto"/>
        <w:jc w:val="both"/>
        <w:rPr>
          <w:rFonts w:ascii="Century Gothic" w:hAnsi="Century Gothic" w:eastAsia="Times New Roman" w:cs="Arial"/>
          <w:sz w:val="28"/>
          <w:szCs w:val="28"/>
        </w:rPr>
      </w:pPr>
      <w:r>
        <w:rPr>
          <w:rFonts w:ascii="Century Gothic" w:hAnsi="Century Gothic" w:eastAsia="Times New Roman" w:cs="Arial"/>
          <w:sz w:val="28"/>
          <w:szCs w:val="28"/>
        </w:rPr>
        <w:t>The involvement of the asset in the commission of the crime is ascertained</w:t>
      </w:r>
    </w:p>
    <w:p>
      <w:pPr>
        <w:pStyle w:val="12"/>
        <w:numPr>
          <w:ilvl w:val="0"/>
          <w:numId w:val="4"/>
        </w:numPr>
        <w:shd w:val="clear" w:color="auto" w:fill="FFFFFF"/>
        <w:tabs>
          <w:tab w:val="left" w:pos="851"/>
        </w:tabs>
        <w:spacing w:after="300" w:line="360" w:lineRule="auto"/>
        <w:jc w:val="both"/>
        <w:rPr>
          <w:rFonts w:ascii="Century Gothic" w:hAnsi="Century Gothic" w:eastAsia="Times New Roman" w:cs="Arial"/>
          <w:sz w:val="28"/>
          <w:szCs w:val="28"/>
        </w:rPr>
      </w:pPr>
      <w:r>
        <w:rPr>
          <w:rFonts w:ascii="Century Gothic" w:hAnsi="Century Gothic" w:eastAsia="Times New Roman" w:cs="Arial"/>
          <w:sz w:val="28"/>
          <w:szCs w:val="28"/>
        </w:rPr>
        <w:t>Whether the property was acquired with proceeds obtained from the illicit activity or crime</w:t>
      </w:r>
    </w:p>
    <w:p>
      <w:pPr>
        <w:pStyle w:val="12"/>
        <w:numPr>
          <w:ilvl w:val="0"/>
          <w:numId w:val="4"/>
        </w:numPr>
        <w:shd w:val="clear" w:color="auto" w:fill="FFFFFF"/>
        <w:tabs>
          <w:tab w:val="left" w:pos="851"/>
        </w:tabs>
        <w:spacing w:after="300" w:line="360" w:lineRule="auto"/>
        <w:ind w:left="709"/>
        <w:jc w:val="both"/>
        <w:rPr>
          <w:rFonts w:ascii="Century Gothic" w:hAnsi="Century Gothic" w:eastAsia="Times New Roman" w:cs="Arial"/>
          <w:sz w:val="28"/>
          <w:szCs w:val="28"/>
        </w:rPr>
      </w:pPr>
      <w:r>
        <w:rPr>
          <w:rFonts w:ascii="Century Gothic" w:hAnsi="Century Gothic" w:eastAsia="Times New Roman" w:cs="Arial"/>
          <w:sz w:val="28"/>
          <w:szCs w:val="28"/>
        </w:rPr>
        <w:t>The person in whose name the property was registered is known.</w:t>
      </w:r>
    </w:p>
    <w:p>
      <w:pPr>
        <w:pStyle w:val="12"/>
        <w:numPr>
          <w:ilvl w:val="0"/>
          <w:numId w:val="4"/>
        </w:numPr>
        <w:shd w:val="clear" w:color="auto" w:fill="FFFFFF"/>
        <w:tabs>
          <w:tab w:val="left" w:pos="851"/>
        </w:tabs>
        <w:spacing w:before="100" w:beforeAutospacing="1" w:after="100" w:afterAutospacing="1" w:line="360" w:lineRule="auto"/>
        <w:ind w:left="709"/>
        <w:jc w:val="both"/>
        <w:rPr>
          <w:rFonts w:ascii="Century Gothic" w:hAnsi="Century Gothic" w:eastAsia="Times New Roman" w:cs="Arial"/>
          <w:sz w:val="28"/>
          <w:szCs w:val="28"/>
        </w:rPr>
      </w:pPr>
      <w:r>
        <w:rPr>
          <w:rFonts w:ascii="Century Gothic" w:hAnsi="Century Gothic" w:eastAsia="Times New Roman" w:cs="Arial"/>
          <w:sz w:val="28"/>
          <w:szCs w:val="28"/>
        </w:rPr>
        <w:t>What will be the cost of maintaining the asset pending the forfeiture application?</w:t>
      </w:r>
    </w:p>
    <w:p>
      <w:pPr>
        <w:shd w:val="clear" w:color="auto" w:fill="FFFFFF"/>
        <w:spacing w:after="300" w:line="360" w:lineRule="auto"/>
        <w:jc w:val="both"/>
        <w:rPr>
          <w:rFonts w:ascii="Century Gothic" w:hAnsi="Century Gothic" w:eastAsia="Times New Roman" w:cs="Arial"/>
          <w:sz w:val="28"/>
          <w:szCs w:val="28"/>
        </w:rPr>
      </w:pPr>
      <w:r>
        <w:rPr>
          <w:rFonts w:ascii="Century Gothic" w:hAnsi="Century Gothic" w:eastAsia="Times New Roman" w:cs="Arial"/>
          <w:sz w:val="28"/>
          <w:szCs w:val="28"/>
        </w:rPr>
        <w:t>Investigators and prosecutors also have to note the provision in the Proceeds of Crime Management Act 2022 regarding realizable property and value of seized property. The Act has spelt out the quantum of properties that can be forfeited which must correspond to the amount of proceeds of crime traced to the convict. Investigators have to determine the actual sum or property lost by the victim in applying for forfeiture order and this forms the basis of value based forfeiture provision in the Act.</w:t>
      </w:r>
    </w:p>
    <w:p>
      <w:pPr>
        <w:shd w:val="clear" w:color="auto" w:fill="FFFFFF"/>
        <w:spacing w:after="300" w:line="360" w:lineRule="auto"/>
        <w:jc w:val="both"/>
        <w:rPr>
          <w:rFonts w:ascii="Century Gothic" w:hAnsi="Century Gothic" w:eastAsia="Times New Roman" w:cs="Arial"/>
          <w:sz w:val="28"/>
          <w:szCs w:val="28"/>
        </w:rPr>
      </w:pPr>
      <w:r>
        <w:rPr>
          <w:rFonts w:ascii="Century Gothic" w:hAnsi="Century Gothic" w:eastAsia="Times New Roman" w:cs="Arial"/>
          <w:sz w:val="28"/>
          <w:szCs w:val="28"/>
        </w:rPr>
        <w:t>Investigators must note that evidence that ties the asset to the crime or the criminal is very crucial in an application for forfeiture order. The investigators and the prosecutors must therefore review available evidence to determine requirement of additional proof and filling of any identify gaps where necessary. Therefore, in deposing to an affidavit in support of application for forfeiture, evidence gathered in the cause of investigation is very important as that will form the basis for Court to give order of forfeiture. This is very necessary for the court to evaluate evidence put forward in a forfeiture proceedings.</w:t>
      </w:r>
    </w:p>
    <w:p>
      <w:pPr>
        <w:tabs>
          <w:tab w:val="left" w:pos="4275"/>
        </w:tabs>
        <w:spacing w:after="0" w:line="360" w:lineRule="auto"/>
        <w:jc w:val="both"/>
        <w:rPr>
          <w:rFonts w:ascii="Century Gothic" w:hAnsi="Century Gothic" w:eastAsia="Calibri" w:cs="Times New Roman"/>
          <w:sz w:val="26"/>
          <w:szCs w:val="26"/>
        </w:rPr>
      </w:pPr>
      <w:r>
        <w:rPr>
          <w:rFonts w:ascii="Century Gothic" w:hAnsi="Century Gothic" w:eastAsia="Times New Roman" w:cs="Arial"/>
          <w:sz w:val="28"/>
          <w:szCs w:val="28"/>
        </w:rPr>
        <w:t>Lastly,</w:t>
      </w:r>
      <w:r>
        <w:rPr>
          <w:rFonts w:ascii="Century Gothic" w:hAnsi="Century Gothic" w:eastAsia="Calibri" w:cs="Times New Roman"/>
          <w:sz w:val="26"/>
          <w:szCs w:val="26"/>
        </w:rPr>
        <w:t xml:space="preserve"> where international asset recovery is involved there may be need for request for assistance in enforcement of forfeiture and confiscation order. This however depends on the existence of multilateral or unilateral treaties which States concerned are signatories. The request for mutual legal assistance to other countries is made through the Central Authority domiciled in the office of the Attorney General and Minister of Justice. </w:t>
      </w:r>
    </w:p>
    <w:p>
      <w:pPr>
        <w:shd w:val="clear" w:color="auto" w:fill="FFFFFF"/>
        <w:spacing w:after="0" w:line="360" w:lineRule="auto"/>
        <w:jc w:val="both"/>
        <w:rPr>
          <w:rFonts w:ascii="Century Gothic" w:hAnsi="Century Gothic" w:eastAsia="Times New Roman" w:cs="Arial"/>
          <w:b/>
          <w:bCs/>
          <w:sz w:val="10"/>
          <w:szCs w:val="28"/>
        </w:rPr>
      </w:pPr>
    </w:p>
    <w:p>
      <w:pPr>
        <w:shd w:val="clear" w:color="auto" w:fill="FFFFFF"/>
        <w:spacing w:after="0" w:line="360" w:lineRule="auto"/>
        <w:jc w:val="both"/>
        <w:rPr>
          <w:rFonts w:ascii="Century Gothic" w:hAnsi="Century Gothic" w:eastAsia="Calibri" w:cs="Calibri"/>
          <w:sz w:val="28"/>
          <w:szCs w:val="28"/>
        </w:rPr>
      </w:pPr>
      <w:r>
        <w:rPr>
          <w:rFonts w:ascii="Century Gothic" w:hAnsi="Century Gothic" w:eastAsia="Times New Roman" w:cs="Arial"/>
          <w:b/>
          <w:bCs/>
          <w:sz w:val="28"/>
          <w:szCs w:val="28"/>
        </w:rPr>
        <w:t>WHAT NEXT AFTER ASSETS ARE FORFEITED</w:t>
      </w:r>
    </w:p>
    <w:p>
      <w:pPr>
        <w:shd w:val="clear" w:color="auto" w:fill="FFFFFF"/>
        <w:spacing w:after="300" w:line="360" w:lineRule="auto"/>
        <w:jc w:val="both"/>
        <w:rPr>
          <w:rFonts w:ascii="Century Gothic" w:hAnsi="Century Gothic" w:cs="Times New Roman"/>
          <w:w w:val="105"/>
          <w:sz w:val="28"/>
          <w:szCs w:val="28"/>
        </w:rPr>
      </w:pPr>
      <w:r>
        <w:rPr>
          <w:rFonts w:ascii="Century Gothic" w:hAnsi="Century Gothic" w:eastAsia="Calibri" w:cs="Calibri"/>
          <w:sz w:val="28"/>
          <w:szCs w:val="28"/>
        </w:rPr>
        <w:t>Recovery of stolen assets has become a recognised and fully factored source of government revenue.</w:t>
      </w:r>
      <w:r>
        <w:rPr>
          <w:rFonts w:ascii="Century Gothic" w:hAnsi="Century Gothic" w:cs="Arial"/>
          <w:sz w:val="28"/>
          <w:szCs w:val="28"/>
        </w:rPr>
        <w:t xml:space="preserve"> Going by the provision of Section 31(2),</w:t>
      </w:r>
      <w:r>
        <w:rPr>
          <w:rFonts w:ascii="Century Gothic" w:hAnsi="Century Gothic" w:cs="Arial"/>
          <w:b/>
          <w:sz w:val="28"/>
          <w:szCs w:val="28"/>
        </w:rPr>
        <w:t xml:space="preserve"> </w:t>
      </w:r>
      <w:r>
        <w:rPr>
          <w:rFonts w:ascii="Century Gothic" w:hAnsi="Century Gothic" w:cs="Arial"/>
          <w:sz w:val="28"/>
          <w:szCs w:val="28"/>
        </w:rPr>
        <w:t>the Secretary to the Commission shall take steps to dispose of the property concerned by sale or otherwise and where the property is sold, the proceeds thereof shall be paid into the Consolidated Revenue Fund (CRF) of the Federation. It is from this account that National Budget are usually funded. However, the recently enacted proceeds of Crime Act 2022 has also given powers to the respective organizations to appoint managers to manage or dispose of forfeited assets and the proceeds paid</w:t>
      </w:r>
      <w:r>
        <w:rPr>
          <w:rFonts w:ascii="Century Gothic" w:hAnsi="Century Gothic" w:cs="Times New Roman"/>
          <w:color w:val="FF0000"/>
          <w:w w:val="105"/>
          <w:sz w:val="28"/>
          <w:szCs w:val="28"/>
        </w:rPr>
        <w:t xml:space="preserve"> </w:t>
      </w:r>
      <w:r>
        <w:rPr>
          <w:rFonts w:ascii="Century Gothic" w:hAnsi="Century Gothic" w:cs="Times New Roman"/>
          <w:w w:val="105"/>
          <w:sz w:val="28"/>
          <w:szCs w:val="28"/>
        </w:rPr>
        <w:t>into designated interest yielding account pending the determination of the proceedings. There is also the provision for disposal of finally forfeited assets by respective organizations and payment of proceeds into confiscated and forfeited properties account established under the Act.</w:t>
      </w:r>
    </w:p>
    <w:p>
      <w:pPr>
        <w:shd w:val="clear" w:color="auto" w:fill="FFFFFF"/>
        <w:spacing w:after="300" w:line="360" w:lineRule="auto"/>
        <w:jc w:val="both"/>
        <w:rPr>
          <w:rFonts w:ascii="Century Gothic" w:hAnsi="Century Gothic" w:eastAsia="Times New Roman" w:cs="Arial"/>
          <w:b/>
          <w:bCs/>
          <w:sz w:val="28"/>
          <w:szCs w:val="28"/>
        </w:rPr>
      </w:pPr>
      <w:r>
        <w:rPr>
          <w:rFonts w:ascii="Century Gothic" w:hAnsi="Century Gothic" w:cs="Times New Roman"/>
          <w:w w:val="105"/>
          <w:sz w:val="28"/>
          <w:szCs w:val="28"/>
        </w:rPr>
        <w:t>Under section 70 of the Proceeds of Crimes (Management) Act, the President may, subject to the approval by Federal Executive Council authorize the expenditure, from time to time, for moneys in the Confiscated and Forfeited Properties Account to be used to –</w:t>
      </w:r>
    </w:p>
    <w:p>
      <w:pPr>
        <w:pStyle w:val="12"/>
        <w:widowControl w:val="0"/>
        <w:numPr>
          <w:ilvl w:val="0"/>
          <w:numId w:val="5"/>
        </w:numPr>
        <w:tabs>
          <w:tab w:val="left" w:pos="993"/>
        </w:tabs>
        <w:autoSpaceDE w:val="0"/>
        <w:autoSpaceDN w:val="0"/>
        <w:spacing w:before="164" w:after="0" w:line="360" w:lineRule="auto"/>
        <w:ind w:right="398"/>
        <w:jc w:val="both"/>
        <w:rPr>
          <w:rFonts w:ascii="Century Gothic" w:hAnsi="Century Gothic" w:eastAsia="Calibri" w:cs="Times New Roman"/>
          <w:sz w:val="28"/>
          <w:szCs w:val="28"/>
          <w:lang w:bidi="en-US"/>
        </w:rPr>
      </w:pPr>
      <w:r>
        <w:rPr>
          <w:rFonts w:ascii="Century Gothic" w:hAnsi="Century Gothic" w:eastAsia="Calibri" w:cs="Times New Roman"/>
          <w:w w:val="105"/>
          <w:sz w:val="28"/>
          <w:szCs w:val="28"/>
          <w:lang w:bidi="en-US"/>
        </w:rPr>
        <w:t>Permit the Relevant Organization to invest in various government portfolios to ensure that the funds can accrue interest that would be applied for the implementation of development projects as approved by the Federal Executive Council (FEC) or the National Assembly;</w:t>
      </w:r>
    </w:p>
    <w:p>
      <w:pPr>
        <w:pStyle w:val="12"/>
        <w:widowControl w:val="0"/>
        <w:numPr>
          <w:ilvl w:val="0"/>
          <w:numId w:val="5"/>
        </w:numPr>
        <w:tabs>
          <w:tab w:val="left" w:pos="993"/>
        </w:tabs>
        <w:autoSpaceDE w:val="0"/>
        <w:autoSpaceDN w:val="0"/>
        <w:spacing w:before="7" w:after="0" w:line="360" w:lineRule="auto"/>
        <w:ind w:right="397"/>
        <w:jc w:val="both"/>
        <w:rPr>
          <w:rFonts w:ascii="Century Gothic" w:hAnsi="Century Gothic" w:eastAsia="Calibri" w:cs="Times New Roman"/>
          <w:sz w:val="28"/>
          <w:szCs w:val="28"/>
          <w:lang w:bidi="en-US"/>
        </w:rPr>
      </w:pPr>
      <w:r>
        <w:rPr>
          <w:rFonts w:ascii="Century Gothic" w:hAnsi="Century Gothic" w:eastAsia="Calibri" w:cs="Times New Roman"/>
          <w:w w:val="105"/>
          <w:sz w:val="28"/>
          <w:szCs w:val="28"/>
          <w:lang w:bidi="en-US"/>
        </w:rPr>
        <w:t>Compensate any State, any person any foreign country or an agency under the provisions of any treaty agreement or scheme for mutual legal assistance which has suffered grave pecuniary loss on account of the offence or conduct that gave rise to the confiscation or forfeiture order;</w:t>
      </w:r>
    </w:p>
    <w:p>
      <w:pPr>
        <w:widowControl w:val="0"/>
        <w:tabs>
          <w:tab w:val="left" w:pos="993"/>
        </w:tabs>
        <w:autoSpaceDE w:val="0"/>
        <w:autoSpaceDN w:val="0"/>
        <w:spacing w:before="7" w:after="0" w:line="360" w:lineRule="auto"/>
        <w:ind w:right="397"/>
        <w:jc w:val="both"/>
        <w:rPr>
          <w:rFonts w:ascii="Century Gothic" w:hAnsi="Century Gothic" w:cs="Times New Roman"/>
          <w:w w:val="105"/>
          <w:sz w:val="14"/>
          <w:szCs w:val="28"/>
        </w:rPr>
      </w:pPr>
    </w:p>
    <w:p>
      <w:pPr>
        <w:widowControl w:val="0"/>
        <w:tabs>
          <w:tab w:val="left" w:pos="993"/>
        </w:tabs>
        <w:autoSpaceDE w:val="0"/>
        <w:autoSpaceDN w:val="0"/>
        <w:spacing w:before="7" w:after="0" w:line="360" w:lineRule="auto"/>
        <w:ind w:right="397"/>
        <w:jc w:val="both"/>
        <w:rPr>
          <w:rFonts w:ascii="Century Gothic" w:hAnsi="Century Gothic" w:eastAsia="Calibri" w:cs="Times New Roman"/>
          <w:sz w:val="28"/>
          <w:szCs w:val="28"/>
          <w:lang w:bidi="en-US"/>
        </w:rPr>
      </w:pPr>
      <w:r>
        <w:rPr>
          <w:rFonts w:ascii="Century Gothic" w:hAnsi="Century Gothic" w:cs="Times New Roman"/>
          <w:w w:val="105"/>
          <w:sz w:val="28"/>
          <w:szCs w:val="28"/>
        </w:rPr>
        <w:t>Other purpose which the money may be applied include judicial, criminal justice reform and crime prevention measures, law enforcement measures, education, health, youth development, mass housing, rural electrification, agricultural reform, water, and sanitation  etc. see sections 71 and 72 Proceeds of Crimes (Management) Act 2022</w:t>
      </w:r>
    </w:p>
    <w:p>
      <w:pPr>
        <w:pStyle w:val="11"/>
        <w:spacing w:line="360" w:lineRule="auto"/>
        <w:jc w:val="both"/>
        <w:rPr>
          <w:rFonts w:ascii="Century Gothic" w:hAnsi="Century Gothic"/>
          <w:sz w:val="28"/>
          <w:szCs w:val="28"/>
        </w:rPr>
      </w:pPr>
      <w:r>
        <w:rPr>
          <w:rFonts w:ascii="Century Gothic" w:hAnsi="Century Gothic"/>
          <w:sz w:val="28"/>
          <w:szCs w:val="28"/>
        </w:rPr>
        <w:t>Recent policies in managing returned assets in Nigeria which can be classified under social {re}use is the use or allocation of forfeited assets for use by Government Agencies for Office Accommodation. A lot of Agencies have benefitted and it has saved the government a lot of money it would have spent in rent of office accommodation some properties subject of interim forfeiture are also being occupied under lease agreement.</w:t>
      </w:r>
    </w:p>
    <w:p>
      <w:pPr>
        <w:shd w:val="clear" w:color="auto" w:fill="FFFFFF"/>
        <w:spacing w:after="0" w:line="360" w:lineRule="auto"/>
        <w:jc w:val="both"/>
        <w:rPr>
          <w:rFonts w:ascii="Century Gothic" w:hAnsi="Century Gothic" w:eastAsia="Times New Roman" w:cs="Arial"/>
          <w:sz w:val="28"/>
          <w:szCs w:val="28"/>
        </w:rPr>
      </w:pPr>
      <w:r>
        <w:rPr>
          <w:rFonts w:ascii="Century Gothic" w:hAnsi="Century Gothic" w:eastAsia="Times New Roman" w:cs="Arial"/>
          <w:b/>
          <w:bCs/>
          <w:sz w:val="28"/>
          <w:szCs w:val="28"/>
        </w:rPr>
        <w:t>CONCLUSION</w:t>
      </w:r>
    </w:p>
    <w:p>
      <w:pPr>
        <w:shd w:val="clear" w:color="auto" w:fill="FFFFFF"/>
        <w:spacing w:after="0" w:line="360" w:lineRule="auto"/>
        <w:jc w:val="both"/>
        <w:rPr>
          <w:rFonts w:ascii="Century Gothic" w:hAnsi="Century Gothic" w:eastAsia="Times New Roman" w:cs="Arial"/>
          <w:sz w:val="28"/>
          <w:szCs w:val="28"/>
        </w:rPr>
      </w:pPr>
      <w:r>
        <w:rPr>
          <w:rFonts w:ascii="Century Gothic" w:hAnsi="Century Gothic" w:eastAsia="Times New Roman" w:cs="Arial"/>
          <w:sz w:val="28"/>
          <w:szCs w:val="28"/>
        </w:rPr>
        <w:t xml:space="preserve">In conclusion, Seizure, confiscation and forfeiture constitute three different concepts and legal processes but they constitute the entire process of asset recovery. </w:t>
      </w:r>
    </w:p>
    <w:p>
      <w:pPr>
        <w:shd w:val="clear" w:color="auto" w:fill="FFFFFF"/>
        <w:spacing w:after="300" w:line="360" w:lineRule="auto"/>
        <w:jc w:val="both"/>
        <w:rPr>
          <w:rFonts w:ascii="Century Gothic" w:hAnsi="Century Gothic" w:eastAsia="Times New Roman" w:cs="Arial"/>
          <w:sz w:val="28"/>
          <w:szCs w:val="28"/>
        </w:rPr>
      </w:pPr>
      <w:r>
        <w:rPr>
          <w:rFonts w:ascii="Century Gothic" w:hAnsi="Century Gothic" w:eastAsia="Times New Roman" w:cs="Arial"/>
          <w:sz w:val="28"/>
          <w:szCs w:val="28"/>
        </w:rPr>
        <w:t>Therefore, the investigators and the prosecutors that are in the pursuit of forfeiture of proceeds of crime must conduct proper investigations to establish a criminal liability of the offender. They must establish the relationship of the property to the crime under investigation, and must ensure that the property is secured in custody. Investigators and prosecutors must realize that the essence of seizure and interim forfeiture is not to deprive a suspect of his property or assets but to preserve the property from being wasted or dissipated thus rendering subsequent proceedings nugatory.</w:t>
      </w:r>
    </w:p>
    <w:p>
      <w:pPr>
        <w:spacing w:line="360" w:lineRule="auto"/>
        <w:jc w:val="both"/>
        <w:rPr>
          <w:rFonts w:ascii="Century Gothic" w:hAnsi="Century Gothic"/>
          <w:sz w:val="28"/>
          <w:szCs w:val="28"/>
        </w:rPr>
      </w:pPr>
      <w:r>
        <w:rPr>
          <w:rFonts w:ascii="Century Gothic" w:hAnsi="Century Gothic"/>
          <w:sz w:val="28"/>
          <w:szCs w:val="28"/>
        </w:rPr>
        <w:t xml:space="preserve">Asset forfeiture seizure and forfeiture will continue to evolve as it has become an important tool in fighting corruption and organized crime in Nigeria. It is therefore important for investigators and prosecutors to understand its legal requirement, the procedure for its application and its benefits particularly for restitution of victims of crime.  </w:t>
      </w:r>
    </w:p>
    <w:p>
      <w:pPr>
        <w:shd w:val="clear" w:color="auto" w:fill="FFFFFF"/>
        <w:spacing w:after="300" w:line="360" w:lineRule="auto"/>
        <w:jc w:val="both"/>
        <w:rPr>
          <w:rFonts w:ascii="Century Gothic" w:hAnsi="Century Gothic" w:eastAsia="Times New Roman" w:cs="Arial"/>
          <w:sz w:val="28"/>
          <w:szCs w:val="28"/>
        </w:rPr>
      </w:pPr>
      <w:r>
        <w:rPr>
          <w:rFonts w:ascii="Century Gothic" w:hAnsi="Century Gothic" w:eastAsia="Times New Roman" w:cs="Arial"/>
          <w:sz w:val="28"/>
          <w:szCs w:val="28"/>
        </w:rPr>
        <w:t>Thank you.</w:t>
      </w:r>
    </w:p>
    <w:p>
      <w:pPr>
        <w:shd w:val="clear" w:color="auto" w:fill="FFFFFF"/>
        <w:spacing w:after="300" w:line="276" w:lineRule="auto"/>
        <w:jc w:val="both"/>
        <w:rPr>
          <w:rFonts w:ascii="Century Gothic" w:hAnsi="Century Gothic" w:eastAsia="Times New Roman" w:cs="Arial"/>
          <w:b/>
          <w:sz w:val="28"/>
          <w:szCs w:val="28"/>
        </w:rPr>
      </w:pPr>
    </w:p>
    <w:p>
      <w:pPr>
        <w:shd w:val="clear" w:color="auto" w:fill="FFFFFF"/>
        <w:spacing w:after="300" w:line="276" w:lineRule="auto"/>
        <w:jc w:val="both"/>
        <w:rPr>
          <w:rFonts w:ascii="Century Gothic" w:hAnsi="Century Gothic" w:eastAsia="Times New Roman" w:cs="Arial"/>
          <w:b/>
          <w:sz w:val="28"/>
          <w:szCs w:val="28"/>
        </w:rPr>
      </w:pPr>
      <w:r>
        <w:rPr>
          <w:rFonts w:ascii="Century Gothic" w:hAnsi="Century Gothic" w:eastAsia="Times New Roman" w:cs="Arial"/>
          <w:b/>
          <w:sz w:val="28"/>
          <w:szCs w:val="28"/>
        </w:rPr>
        <w:t>REFERENCES</w:t>
      </w:r>
    </w:p>
    <w:p>
      <w:pPr>
        <w:pStyle w:val="12"/>
        <w:numPr>
          <w:ilvl w:val="0"/>
          <w:numId w:val="6"/>
        </w:numPr>
        <w:shd w:val="clear" w:color="auto" w:fill="FFFFFF"/>
        <w:spacing w:after="300" w:line="276" w:lineRule="auto"/>
        <w:ind w:hanging="578"/>
        <w:jc w:val="both"/>
        <w:rPr>
          <w:rFonts w:ascii="Century Gothic" w:hAnsi="Century Gothic" w:eastAsia="Times New Roman" w:cs="Arial"/>
          <w:sz w:val="28"/>
          <w:szCs w:val="28"/>
        </w:rPr>
      </w:pPr>
      <w:r>
        <w:rPr>
          <w:rFonts w:ascii="Century Gothic" w:hAnsi="Century Gothic" w:cs="Arial"/>
          <w:color w:val="333333"/>
          <w:sz w:val="28"/>
          <w:szCs w:val="28"/>
          <w:shd w:val="clear" w:color="auto" w:fill="FFFFFF"/>
        </w:rPr>
        <w:t>U.S. Department of Justice, Criminal Division, Asset Forfeiture and Money Laundering Section, </w:t>
      </w:r>
      <w:r>
        <w:rPr>
          <w:rStyle w:val="7"/>
          <w:rFonts w:ascii="Century Gothic" w:hAnsi="Century Gothic" w:cs="Arial"/>
          <w:color w:val="333333"/>
          <w:sz w:val="28"/>
          <w:szCs w:val="28"/>
          <w:shd w:val="clear" w:color="auto" w:fill="FFFFFF"/>
        </w:rPr>
        <w:t>Guide to Equitable Sharing for State and Local Law Enforcement Agencies</w:t>
      </w:r>
      <w:r>
        <w:rPr>
          <w:rFonts w:ascii="Century Gothic" w:hAnsi="Century Gothic" w:cs="Arial"/>
          <w:color w:val="333333"/>
          <w:sz w:val="28"/>
          <w:szCs w:val="28"/>
          <w:shd w:val="clear" w:color="auto" w:fill="FFFFFF"/>
        </w:rPr>
        <w:t xml:space="preserve">, April 2009, </w:t>
      </w:r>
      <w:r>
        <w:rPr>
          <w:rStyle w:val="7"/>
          <w:rFonts w:ascii="Century Gothic" w:hAnsi="Century Gothic" w:cs="Arial"/>
          <w:color w:val="333333"/>
          <w:sz w:val="28"/>
          <w:szCs w:val="28"/>
          <w:shd w:val="clear" w:color="auto" w:fill="FFFFFF"/>
        </w:rPr>
        <w:t>https://www.justice.gov/criminal-afmls/file/794696/download</w:t>
      </w:r>
      <w:r>
        <w:rPr>
          <w:rFonts w:ascii="Century Gothic" w:hAnsi="Century Gothic" w:cs="Arial"/>
          <w:color w:val="333333"/>
          <w:sz w:val="28"/>
          <w:szCs w:val="28"/>
          <w:shd w:val="clear" w:color="auto" w:fill="FFFFFF"/>
        </w:rPr>
        <w:t>.</w:t>
      </w:r>
    </w:p>
    <w:p>
      <w:pPr>
        <w:pStyle w:val="12"/>
        <w:numPr>
          <w:ilvl w:val="0"/>
          <w:numId w:val="6"/>
        </w:numPr>
        <w:shd w:val="clear" w:color="auto" w:fill="FFFFFF"/>
        <w:spacing w:after="300" w:line="276" w:lineRule="auto"/>
        <w:ind w:hanging="578"/>
        <w:jc w:val="both"/>
        <w:rPr>
          <w:rFonts w:ascii="Century Gothic" w:hAnsi="Century Gothic" w:cs="Arial"/>
          <w:color w:val="333333"/>
          <w:sz w:val="28"/>
          <w:szCs w:val="28"/>
          <w:shd w:val="clear" w:color="auto" w:fill="FFFFFF"/>
        </w:rPr>
      </w:pPr>
      <w:r>
        <w:rPr>
          <w:rFonts w:ascii="Century Gothic" w:hAnsi="Century Gothic" w:cs="Arial"/>
          <w:color w:val="333333"/>
          <w:sz w:val="28"/>
          <w:szCs w:val="28"/>
          <w:shd w:val="clear" w:color="auto" w:fill="FFFFFF"/>
        </w:rPr>
        <w:t xml:space="preserve"> “Introduction to Asset Forfeiture: Lecture Outline,” Asset Forfeiture Law, LLC, February 18, 2016, accessed April 11, 2016, </w:t>
      </w:r>
      <w:r>
        <w:fldChar w:fldCharType="begin"/>
      </w:r>
      <w:r>
        <w:instrText xml:space="preserve"> HYPERLINK "http://assetforfeiturelaw.us/wp-content/uploads/2016/03/Introduction-to-Asset-Forfeiture.pdf" </w:instrText>
      </w:r>
      <w:r>
        <w:fldChar w:fldCharType="separate"/>
      </w:r>
      <w:r>
        <w:rPr>
          <w:rStyle w:val="10"/>
          <w:rFonts w:ascii="Century Gothic" w:hAnsi="Century Gothic" w:cs="Arial"/>
          <w:sz w:val="28"/>
          <w:szCs w:val="28"/>
          <w:shd w:val="clear" w:color="auto" w:fill="FFFFFF"/>
        </w:rPr>
        <w:t>http://assetforfeiturelaw.us/wp-content/uploads/2016/03/Introduction-to-Asset-Forfeiture.pdf</w:t>
      </w:r>
      <w:r>
        <w:rPr>
          <w:rStyle w:val="10"/>
          <w:rFonts w:ascii="Century Gothic" w:hAnsi="Century Gothic" w:cs="Arial"/>
          <w:sz w:val="28"/>
          <w:szCs w:val="28"/>
          <w:shd w:val="clear" w:color="auto" w:fill="FFFFFF"/>
        </w:rPr>
        <w:fldChar w:fldCharType="end"/>
      </w:r>
      <w:r>
        <w:rPr>
          <w:rFonts w:ascii="Century Gothic" w:hAnsi="Century Gothic" w:cs="Arial"/>
          <w:color w:val="333333"/>
          <w:sz w:val="28"/>
          <w:szCs w:val="28"/>
          <w:shd w:val="clear" w:color="auto" w:fill="FFFFFF"/>
        </w:rPr>
        <w:t>.</w:t>
      </w:r>
    </w:p>
    <w:p>
      <w:pPr>
        <w:pStyle w:val="12"/>
        <w:shd w:val="clear" w:color="auto" w:fill="FFFFFF"/>
        <w:spacing w:after="300" w:line="276" w:lineRule="auto"/>
        <w:ind w:hanging="578"/>
        <w:jc w:val="both"/>
        <w:rPr>
          <w:rStyle w:val="7"/>
          <w:rFonts w:ascii="Century Gothic" w:hAnsi="Century Gothic" w:cs="Arial"/>
          <w:color w:val="333333"/>
          <w:sz w:val="28"/>
          <w:szCs w:val="28"/>
        </w:rPr>
      </w:pPr>
    </w:p>
    <w:p>
      <w:pPr>
        <w:pStyle w:val="12"/>
        <w:numPr>
          <w:ilvl w:val="0"/>
          <w:numId w:val="6"/>
        </w:numPr>
        <w:shd w:val="clear" w:color="auto" w:fill="FFFFFF"/>
        <w:spacing w:after="300" w:line="276" w:lineRule="auto"/>
        <w:ind w:hanging="578"/>
        <w:jc w:val="both"/>
        <w:rPr>
          <w:rFonts w:ascii="Century Gothic" w:hAnsi="Century Gothic" w:cs="Arial"/>
          <w:color w:val="333333"/>
          <w:sz w:val="28"/>
          <w:szCs w:val="28"/>
        </w:rPr>
      </w:pPr>
      <w:r>
        <w:rPr>
          <w:rStyle w:val="7"/>
          <w:rFonts w:ascii="Century Gothic" w:hAnsi="Century Gothic" w:cs="Arial"/>
          <w:color w:val="333333"/>
          <w:sz w:val="28"/>
          <w:szCs w:val="28"/>
        </w:rPr>
        <w:t xml:space="preserve">Overview of asset forfeiture from the FBI, </w:t>
      </w:r>
      <w:r>
        <w:fldChar w:fldCharType="begin"/>
      </w:r>
      <w:r>
        <w:instrText xml:space="preserve"> HYPERLINK "https://www.fbi.gov/about-" </w:instrText>
      </w:r>
      <w:r>
        <w:fldChar w:fldCharType="separate"/>
      </w:r>
      <w:r>
        <w:rPr>
          <w:rStyle w:val="10"/>
          <w:rFonts w:ascii="Century Gothic" w:hAnsi="Century Gothic" w:cs="Arial"/>
          <w:sz w:val="28"/>
          <w:szCs w:val="28"/>
        </w:rPr>
        <w:t>https://www.fbi.gov/about-</w:t>
      </w:r>
      <w:r>
        <w:rPr>
          <w:rStyle w:val="10"/>
          <w:rFonts w:ascii="Century Gothic" w:hAnsi="Century Gothic" w:cs="Arial"/>
          <w:sz w:val="28"/>
          <w:szCs w:val="28"/>
        </w:rPr>
        <w:fldChar w:fldCharType="end"/>
      </w:r>
      <w:r>
        <w:rPr>
          <w:rFonts w:ascii="Century Gothic" w:hAnsi="Century Gothic" w:cs="Arial"/>
          <w:color w:val="333333"/>
          <w:sz w:val="28"/>
          <w:szCs w:val="28"/>
        </w:rPr>
        <w:t>. us/investigate/white_collar/asset-forfeiture</w:t>
      </w:r>
    </w:p>
    <w:p>
      <w:pPr>
        <w:pStyle w:val="12"/>
        <w:shd w:val="clear" w:color="auto" w:fill="FFFFFF"/>
        <w:spacing w:after="300" w:line="276" w:lineRule="auto"/>
        <w:ind w:hanging="578"/>
        <w:jc w:val="both"/>
        <w:rPr>
          <w:rFonts w:ascii="Century Gothic" w:hAnsi="Century Gothic" w:cs="Arial"/>
          <w:color w:val="333333"/>
          <w:sz w:val="28"/>
          <w:szCs w:val="28"/>
        </w:rPr>
      </w:pPr>
    </w:p>
    <w:p>
      <w:pPr>
        <w:pStyle w:val="12"/>
        <w:numPr>
          <w:ilvl w:val="0"/>
          <w:numId w:val="6"/>
        </w:numPr>
        <w:shd w:val="clear" w:color="auto" w:fill="FFFFFF"/>
        <w:spacing w:after="300" w:line="276" w:lineRule="auto"/>
        <w:ind w:hanging="578"/>
        <w:jc w:val="both"/>
        <w:rPr>
          <w:rFonts w:ascii="Century Gothic" w:hAnsi="Century Gothic" w:cs="Arial"/>
          <w:color w:val="333333"/>
          <w:sz w:val="28"/>
          <w:szCs w:val="28"/>
        </w:rPr>
      </w:pPr>
      <w:r>
        <w:rPr>
          <w:rFonts w:ascii="Century Gothic" w:hAnsi="Century Gothic" w:cs="Arial"/>
          <w:color w:val="333333"/>
          <w:sz w:val="28"/>
          <w:szCs w:val="28"/>
        </w:rPr>
        <w:t>Professor Yemi Akinseye – George , SAN FCIArb- paper presented at the 3 day capacity building workshop for justices  and judges organized by the NJI and the EFCC 22-24 October 2019.</w:t>
      </w:r>
    </w:p>
    <w:p>
      <w:pPr>
        <w:pStyle w:val="12"/>
        <w:shd w:val="clear" w:color="auto" w:fill="FFFFFF"/>
        <w:spacing w:after="300" w:line="276" w:lineRule="auto"/>
        <w:ind w:hanging="578"/>
        <w:jc w:val="both"/>
        <w:rPr>
          <w:rFonts w:ascii="Century Gothic" w:hAnsi="Century Gothic" w:cs="Arial"/>
          <w:color w:val="333333"/>
          <w:sz w:val="28"/>
          <w:szCs w:val="28"/>
        </w:rPr>
      </w:pPr>
    </w:p>
    <w:p>
      <w:pPr>
        <w:pStyle w:val="12"/>
        <w:numPr>
          <w:ilvl w:val="0"/>
          <w:numId w:val="6"/>
        </w:numPr>
        <w:shd w:val="clear" w:color="auto" w:fill="FFFFFF"/>
        <w:spacing w:after="300" w:line="276" w:lineRule="auto"/>
        <w:ind w:hanging="578"/>
        <w:jc w:val="both"/>
        <w:rPr>
          <w:rFonts w:ascii="Century Gothic" w:hAnsi="Century Gothic" w:cs="Arial"/>
          <w:color w:val="333333"/>
          <w:sz w:val="28"/>
          <w:szCs w:val="28"/>
        </w:rPr>
      </w:pPr>
      <w:r>
        <w:rPr>
          <w:rFonts w:ascii="Century Gothic" w:hAnsi="Century Gothic" w:cs="Arial"/>
          <w:color w:val="333333"/>
          <w:sz w:val="28"/>
          <w:szCs w:val="28"/>
        </w:rPr>
        <w:t>The case of Esai Dangaba v FRN (2014) 12 NWLR (Pt 1422) 575 and Nwude V Chairman EFCC (2005) All FWLR (Pt 276) 74</w:t>
      </w:r>
    </w:p>
    <w:p>
      <w:pPr>
        <w:pStyle w:val="12"/>
        <w:spacing w:line="276" w:lineRule="auto"/>
        <w:ind w:hanging="578"/>
        <w:rPr>
          <w:rFonts w:ascii="Century Gothic" w:hAnsi="Century Gothic" w:cs="Arial"/>
          <w:color w:val="333333"/>
          <w:sz w:val="28"/>
          <w:szCs w:val="28"/>
        </w:rPr>
      </w:pPr>
    </w:p>
    <w:p>
      <w:pPr>
        <w:pStyle w:val="12"/>
        <w:shd w:val="clear" w:color="auto" w:fill="FFFFFF"/>
        <w:spacing w:after="300" w:line="276" w:lineRule="auto"/>
        <w:ind w:hanging="578"/>
        <w:jc w:val="both"/>
        <w:rPr>
          <w:rFonts w:ascii="Century Gothic" w:hAnsi="Century Gothic" w:cs="Arial"/>
          <w:color w:val="333333"/>
          <w:sz w:val="28"/>
          <w:szCs w:val="28"/>
        </w:rPr>
      </w:pPr>
    </w:p>
    <w:p>
      <w:pPr>
        <w:pStyle w:val="12"/>
        <w:numPr>
          <w:ilvl w:val="0"/>
          <w:numId w:val="6"/>
        </w:numPr>
        <w:shd w:val="clear" w:color="auto" w:fill="FFFFFF"/>
        <w:spacing w:after="300" w:line="276" w:lineRule="auto"/>
        <w:ind w:hanging="578"/>
        <w:jc w:val="both"/>
        <w:rPr>
          <w:rFonts w:ascii="Century Gothic" w:hAnsi="Century Gothic" w:cs="Arial"/>
          <w:color w:val="333333"/>
          <w:sz w:val="28"/>
          <w:szCs w:val="28"/>
        </w:rPr>
      </w:pPr>
      <w:r>
        <w:rPr>
          <w:rFonts w:ascii="Century Gothic" w:hAnsi="Century Gothic" w:cs="Arial"/>
          <w:color w:val="333333"/>
          <w:sz w:val="28"/>
          <w:szCs w:val="28"/>
        </w:rPr>
        <w:t>Hon Justice C. M. A Olatorgun in the case of Avanna &amp; Chemical Industries Ltd V Economic and Financial Crimes Commission &amp; Anor Suit No. FHC/L/CS/1304/2010.</w:t>
      </w:r>
    </w:p>
    <w:p>
      <w:pPr>
        <w:numPr>
          <w:ilvl w:val="0"/>
          <w:numId w:val="6"/>
        </w:numPr>
        <w:spacing w:after="0" w:line="276" w:lineRule="auto"/>
        <w:ind w:hanging="578"/>
        <w:contextualSpacing/>
        <w:rPr>
          <w:rFonts w:ascii="Century Gothic" w:hAnsi="Century Gothic" w:eastAsia="Times New Roman" w:cs="Times New Roman"/>
          <w:sz w:val="28"/>
          <w:szCs w:val="28"/>
        </w:rPr>
      </w:pPr>
      <w:r>
        <w:rPr>
          <w:rFonts w:ascii="Century Gothic" w:hAnsi="Century Gothic" w:cs="Times New Roman" w:eastAsiaTheme="minorEastAsia"/>
          <w:kern w:val="24"/>
          <w:sz w:val="28"/>
          <w:szCs w:val="28"/>
        </w:rPr>
        <w:t>The EFCC Establishment Act 2004</w:t>
      </w:r>
    </w:p>
    <w:p>
      <w:pPr>
        <w:numPr>
          <w:ilvl w:val="0"/>
          <w:numId w:val="6"/>
        </w:numPr>
        <w:spacing w:after="0" w:line="276" w:lineRule="auto"/>
        <w:ind w:hanging="578"/>
        <w:contextualSpacing/>
        <w:rPr>
          <w:rFonts w:ascii="Century Gothic" w:hAnsi="Century Gothic" w:eastAsia="Times New Roman" w:cs="Times New Roman"/>
          <w:sz w:val="28"/>
          <w:szCs w:val="28"/>
        </w:rPr>
      </w:pPr>
      <w:r>
        <w:rPr>
          <w:rFonts w:ascii="Century Gothic" w:hAnsi="Century Gothic" w:cs="Times New Roman" w:eastAsiaTheme="minorEastAsia"/>
          <w:kern w:val="24"/>
          <w:sz w:val="28"/>
          <w:szCs w:val="28"/>
        </w:rPr>
        <w:t>The Advance Fee Fraud and Other Fraud related Offences Act, 2006</w:t>
      </w:r>
    </w:p>
    <w:p>
      <w:pPr>
        <w:numPr>
          <w:ilvl w:val="0"/>
          <w:numId w:val="6"/>
        </w:numPr>
        <w:spacing w:after="0" w:line="276" w:lineRule="auto"/>
        <w:ind w:hanging="578"/>
        <w:contextualSpacing/>
        <w:rPr>
          <w:rFonts w:ascii="Century Gothic" w:hAnsi="Century Gothic" w:eastAsia="Times New Roman" w:cs="Times New Roman"/>
          <w:sz w:val="28"/>
          <w:szCs w:val="28"/>
        </w:rPr>
      </w:pPr>
      <w:r>
        <w:rPr>
          <w:rFonts w:ascii="Century Gothic" w:hAnsi="Century Gothic" w:cs="Times New Roman" w:eastAsiaTheme="minorEastAsia"/>
          <w:kern w:val="24"/>
          <w:sz w:val="28"/>
          <w:szCs w:val="28"/>
        </w:rPr>
        <w:t>Administration of Criminal Justice Act, 2015</w:t>
      </w:r>
    </w:p>
    <w:p>
      <w:pPr>
        <w:numPr>
          <w:ilvl w:val="0"/>
          <w:numId w:val="6"/>
        </w:numPr>
        <w:tabs>
          <w:tab w:val="left" w:pos="851"/>
        </w:tabs>
        <w:spacing w:after="0" w:line="276" w:lineRule="auto"/>
        <w:ind w:hanging="578"/>
        <w:contextualSpacing/>
        <w:rPr>
          <w:rFonts w:ascii="Century Gothic" w:hAnsi="Century Gothic" w:eastAsia="Times New Roman" w:cs="Times New Roman"/>
          <w:sz w:val="28"/>
          <w:szCs w:val="28"/>
        </w:rPr>
      </w:pPr>
      <w:r>
        <w:rPr>
          <w:rFonts w:ascii="Century Gothic" w:hAnsi="Century Gothic" w:cs="Times New Roman" w:eastAsiaTheme="minorEastAsia"/>
          <w:kern w:val="24"/>
          <w:sz w:val="28"/>
          <w:szCs w:val="28"/>
        </w:rPr>
        <w:t>Money Laundering Prohibition Act 2015</w:t>
      </w:r>
    </w:p>
    <w:p>
      <w:pPr>
        <w:pStyle w:val="12"/>
        <w:numPr>
          <w:ilvl w:val="0"/>
          <w:numId w:val="6"/>
        </w:numPr>
        <w:shd w:val="clear" w:color="auto" w:fill="FFFFFF"/>
        <w:spacing w:after="300" w:line="276" w:lineRule="auto"/>
        <w:ind w:hanging="578"/>
        <w:jc w:val="both"/>
        <w:rPr>
          <w:rFonts w:ascii="Century Gothic" w:hAnsi="Century Gothic" w:cs="Arial"/>
          <w:color w:val="333333"/>
          <w:sz w:val="28"/>
          <w:szCs w:val="28"/>
          <w:shd w:val="clear" w:color="auto" w:fill="FFFFFF"/>
        </w:rPr>
      </w:pPr>
      <w:r>
        <w:rPr>
          <w:rFonts w:ascii="Century Gothic" w:hAnsi="Century Gothic" w:cs="Arial"/>
          <w:color w:val="333333"/>
          <w:sz w:val="28"/>
          <w:szCs w:val="28"/>
          <w:shd w:val="clear" w:color="auto" w:fill="FFFFFF"/>
        </w:rPr>
        <w:t>Proceeds of Crime (Recovery and Management) Act 2022</w:t>
      </w:r>
    </w:p>
    <w:p>
      <w:pPr>
        <w:pStyle w:val="12"/>
        <w:numPr>
          <w:ilvl w:val="0"/>
          <w:numId w:val="6"/>
        </w:numPr>
        <w:shd w:val="clear" w:color="auto" w:fill="FFFFFF"/>
        <w:spacing w:after="300" w:line="276" w:lineRule="auto"/>
        <w:ind w:hanging="578"/>
        <w:jc w:val="both"/>
        <w:rPr>
          <w:rFonts w:ascii="Century Gothic" w:hAnsi="Century Gothic" w:cs="Arial"/>
          <w:color w:val="333333"/>
          <w:sz w:val="28"/>
          <w:szCs w:val="28"/>
          <w:shd w:val="clear" w:color="auto" w:fill="FFFFFF"/>
        </w:rPr>
      </w:pPr>
      <w:r>
        <w:rPr>
          <w:rFonts w:ascii="Century Gothic" w:hAnsi="Century Gothic" w:cs="Arial"/>
          <w:color w:val="333333"/>
          <w:sz w:val="28"/>
          <w:szCs w:val="28"/>
          <w:shd w:val="clear" w:color="auto" w:fill="FFFFFF"/>
        </w:rPr>
        <w:t>Terrorism (Prevention and Prohibition) Act 2022</w:t>
      </w:r>
    </w:p>
    <w:p>
      <w:pPr>
        <w:pStyle w:val="12"/>
        <w:numPr>
          <w:ilvl w:val="0"/>
          <w:numId w:val="6"/>
        </w:numPr>
        <w:shd w:val="clear" w:color="auto" w:fill="FFFFFF"/>
        <w:spacing w:after="300" w:line="276" w:lineRule="auto"/>
        <w:ind w:hanging="578"/>
        <w:jc w:val="both"/>
        <w:rPr>
          <w:rFonts w:ascii="Century Gothic" w:hAnsi="Century Gothic" w:cs="Arial"/>
          <w:color w:val="333333"/>
          <w:sz w:val="28"/>
          <w:szCs w:val="28"/>
          <w:shd w:val="clear" w:color="auto" w:fill="FFFFFF"/>
        </w:rPr>
      </w:pPr>
      <w:r>
        <w:rPr>
          <w:rFonts w:ascii="Century Gothic" w:hAnsi="Century Gothic" w:cs="Arial"/>
          <w:color w:val="333333"/>
          <w:sz w:val="28"/>
          <w:szCs w:val="28"/>
          <w:shd w:val="clear" w:color="auto" w:fill="FFFFFF"/>
        </w:rPr>
        <w:t>Criminal Procedure Laws of the Southern States</w:t>
      </w:r>
    </w:p>
    <w:p>
      <w:pPr>
        <w:pStyle w:val="12"/>
        <w:numPr>
          <w:ilvl w:val="0"/>
          <w:numId w:val="6"/>
        </w:numPr>
        <w:shd w:val="clear" w:color="auto" w:fill="FFFFFF"/>
        <w:spacing w:after="300" w:line="276" w:lineRule="auto"/>
        <w:ind w:hanging="578"/>
        <w:jc w:val="both"/>
        <w:rPr>
          <w:rFonts w:ascii="Century Gothic" w:hAnsi="Century Gothic" w:cs="Arial"/>
          <w:color w:val="333333"/>
          <w:sz w:val="28"/>
          <w:szCs w:val="28"/>
          <w:shd w:val="clear" w:color="auto" w:fill="FFFFFF"/>
        </w:rPr>
      </w:pPr>
      <w:r>
        <w:rPr>
          <w:rFonts w:ascii="Century Gothic" w:hAnsi="Century Gothic" w:cs="Arial"/>
          <w:color w:val="333333"/>
          <w:sz w:val="28"/>
          <w:szCs w:val="28"/>
          <w:shd w:val="clear" w:color="auto" w:fill="FFFFFF"/>
        </w:rPr>
        <w:t>Criminal Procedure Code of Northern States</w:t>
      </w:r>
    </w:p>
    <w:p>
      <w:pPr>
        <w:pStyle w:val="12"/>
        <w:numPr>
          <w:ilvl w:val="0"/>
          <w:numId w:val="6"/>
        </w:numPr>
        <w:shd w:val="clear" w:color="auto" w:fill="FFFFFF"/>
        <w:spacing w:after="300" w:line="276" w:lineRule="auto"/>
        <w:ind w:hanging="578"/>
        <w:jc w:val="both"/>
        <w:rPr>
          <w:rFonts w:ascii="Century Gothic" w:hAnsi="Century Gothic" w:cs="Arial"/>
          <w:color w:val="333333"/>
          <w:sz w:val="28"/>
          <w:szCs w:val="28"/>
          <w:shd w:val="clear" w:color="auto" w:fill="FFFFFF"/>
        </w:rPr>
      </w:pPr>
      <w:r>
        <w:rPr>
          <w:rFonts w:ascii="Century Gothic" w:hAnsi="Century Gothic" w:cs="Arial"/>
          <w:color w:val="333333"/>
          <w:sz w:val="28"/>
          <w:szCs w:val="28"/>
          <w:shd w:val="clear" w:color="auto" w:fill="FFFFFF"/>
        </w:rPr>
        <w:t>Corrupt Practices and Other Related Offences Act 2000</w:t>
      </w:r>
    </w:p>
    <w:p>
      <w:pPr>
        <w:pStyle w:val="12"/>
        <w:numPr>
          <w:ilvl w:val="0"/>
          <w:numId w:val="6"/>
        </w:numPr>
        <w:shd w:val="clear" w:color="auto" w:fill="FFFFFF"/>
        <w:spacing w:after="300" w:line="276" w:lineRule="auto"/>
        <w:ind w:hanging="578"/>
        <w:jc w:val="both"/>
        <w:rPr>
          <w:rFonts w:ascii="Century Gothic" w:hAnsi="Century Gothic" w:cs="Arial"/>
          <w:color w:val="333333"/>
          <w:sz w:val="28"/>
          <w:szCs w:val="28"/>
          <w:shd w:val="clear" w:color="auto" w:fill="FFFFFF"/>
        </w:rPr>
      </w:pPr>
      <w:r>
        <w:rPr>
          <w:rFonts w:ascii="Century Gothic" w:hAnsi="Century Gothic" w:cs="Arial"/>
          <w:color w:val="333333"/>
          <w:sz w:val="28"/>
          <w:szCs w:val="28"/>
          <w:shd w:val="clear" w:color="auto" w:fill="FFFFFF"/>
        </w:rPr>
        <w:t>Code of Conduct Bureau and Tribunal Act 1991</w:t>
      </w:r>
    </w:p>
    <w:p>
      <w:pPr>
        <w:pStyle w:val="12"/>
        <w:shd w:val="clear" w:color="auto" w:fill="FFFFFF"/>
        <w:spacing w:after="300" w:line="276" w:lineRule="auto"/>
        <w:jc w:val="both"/>
        <w:rPr>
          <w:rFonts w:ascii="Century Gothic" w:hAnsi="Century Gothic" w:cs="Arial"/>
          <w:color w:val="333333"/>
          <w:sz w:val="28"/>
          <w:szCs w:val="28"/>
        </w:rPr>
      </w:pPr>
    </w:p>
    <w:sectPr>
      <w:headerReference r:id="rId6" w:type="first"/>
      <w:headerReference r:id="rId5" w:type="default"/>
      <w:footerReference r:id="rId7" w:type="default"/>
      <w:pgSz w:w="12240" w:h="15840"/>
      <w:pgMar w:top="1276" w:right="1440" w:bottom="1440" w:left="1440"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Century Gothic">
    <w:panose1 w:val="020B0502020202020204"/>
    <w:charset w:val="00"/>
    <w:family w:val="swiss"/>
    <w:pitch w:val="default"/>
    <w:sig w:usb0="00000287" w:usb1="00000000" w:usb2="00000000" w:usb3="00000000" w:csb0="2000009F" w:csb1="DFD7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346973"/>
      <w:docPartObj>
        <w:docPartGallery w:val="AutoText"/>
      </w:docPartObj>
    </w:sdtPr>
    <w:sdtEndPr>
      <w:rPr>
        <w:color w:val="7E7E7E" w:themeColor="background1" w:themeShade="7F"/>
        <w:spacing w:val="60"/>
      </w:rPr>
    </w:sdtEndPr>
    <w:sdtContent>
      <w:p>
        <w:pPr>
          <w:pStyle w:val="8"/>
          <w:pBdr>
            <w:top w:val="single" w:color="D8D8D8" w:themeColor="background1" w:themeShade="D9" w:sz="4" w:space="1"/>
          </w:pBdr>
          <w:jc w:val="right"/>
        </w:pPr>
        <w:r>
          <w:fldChar w:fldCharType="begin"/>
        </w:r>
        <w:r>
          <w:instrText xml:space="preserve"> PAGE   \* MERGEFORMAT </w:instrText>
        </w:r>
        <w:r>
          <w:fldChar w:fldCharType="separate"/>
        </w:r>
        <w:r>
          <w:t>2</w:t>
        </w:r>
        <w:r>
          <w:fldChar w:fldCharType="end"/>
        </w:r>
        <w:r>
          <w:t xml:space="preserve"> | </w:t>
        </w:r>
        <w:r>
          <w:rPr>
            <w:color w:val="7E7E7E" w:themeColor="background1" w:themeShade="7F"/>
            <w:spacing w:val="60"/>
          </w:rPr>
          <w:t>Page</w:t>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Century Gothic" w:hAnsi="Century Gothic"/>
        <w:sz w:val="20"/>
      </w:rPr>
    </w:pPr>
    <w:r>
      <w:rPr>
        <w:rFonts w:ascii="Century Gothic" w:hAnsi="Century Gothic"/>
        <w:sz w:val="20"/>
      </w:rPr>
      <w:t>RESTRICTED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Century Gothic" w:hAnsi="Century Gothic"/>
        <w:sz w:val="20"/>
      </w:rPr>
    </w:pPr>
    <w:r>
      <w:rPr>
        <w:rFonts w:ascii="Century Gothic" w:hAnsi="Century Gothic"/>
        <w:sz w:val="20"/>
      </w:rPr>
      <w:t>RESTRICTED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A28C4"/>
    <w:multiLevelType w:val="multilevel"/>
    <w:tmpl w:val="269A28C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8FA1483"/>
    <w:multiLevelType w:val="multilevel"/>
    <w:tmpl w:val="38FA148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F793501"/>
    <w:multiLevelType w:val="multilevel"/>
    <w:tmpl w:val="3F793501"/>
    <w:lvl w:ilvl="0" w:tentative="0">
      <w:start w:val="1"/>
      <w:numFmt w:val="decimal"/>
      <w:lvlText w:val="%1)"/>
      <w:lvlJc w:val="left"/>
      <w:pPr>
        <w:tabs>
          <w:tab w:val="left" w:pos="720"/>
        </w:tabs>
        <w:ind w:left="720" w:hanging="360"/>
      </w:pPr>
      <w:rPr>
        <w:rFonts w:hint="default"/>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49237A85"/>
    <w:multiLevelType w:val="multilevel"/>
    <w:tmpl w:val="49237A85"/>
    <w:lvl w:ilvl="0" w:tentative="0">
      <w:start w:val="1"/>
      <w:numFmt w:val="decimal"/>
      <w:lvlText w:val="%1)"/>
      <w:lvlJc w:val="left"/>
      <w:pPr>
        <w:tabs>
          <w:tab w:val="left" w:pos="720"/>
        </w:tabs>
        <w:ind w:left="720" w:hanging="360"/>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o"/>
      <w:lvlJc w:val="left"/>
      <w:pPr>
        <w:tabs>
          <w:tab w:val="left" w:pos="2160"/>
        </w:tabs>
        <w:ind w:left="2160" w:hanging="360"/>
      </w:pPr>
      <w:rPr>
        <w:rFonts w:hint="default" w:ascii="Courier New" w:hAnsi="Courier New"/>
      </w:rPr>
    </w:lvl>
    <w:lvl w:ilvl="3" w:tentative="0">
      <w:start w:val="1"/>
      <w:numFmt w:val="bullet"/>
      <w:lvlText w:val="o"/>
      <w:lvlJc w:val="left"/>
      <w:pPr>
        <w:tabs>
          <w:tab w:val="left" w:pos="2880"/>
        </w:tabs>
        <w:ind w:left="2880" w:hanging="360"/>
      </w:pPr>
      <w:rPr>
        <w:rFonts w:hint="default" w:ascii="Courier New" w:hAnsi="Courier New"/>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o"/>
      <w:lvlJc w:val="left"/>
      <w:pPr>
        <w:tabs>
          <w:tab w:val="left" w:pos="4320"/>
        </w:tabs>
        <w:ind w:left="4320" w:hanging="360"/>
      </w:pPr>
      <w:rPr>
        <w:rFonts w:hint="default" w:ascii="Courier New" w:hAnsi="Courier New"/>
      </w:rPr>
    </w:lvl>
    <w:lvl w:ilvl="6" w:tentative="0">
      <w:start w:val="1"/>
      <w:numFmt w:val="bullet"/>
      <w:lvlText w:val="o"/>
      <w:lvlJc w:val="left"/>
      <w:pPr>
        <w:tabs>
          <w:tab w:val="left" w:pos="5040"/>
        </w:tabs>
        <w:ind w:left="5040" w:hanging="360"/>
      </w:pPr>
      <w:rPr>
        <w:rFonts w:hint="default" w:ascii="Courier New" w:hAnsi="Courier New"/>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o"/>
      <w:lvlJc w:val="left"/>
      <w:pPr>
        <w:tabs>
          <w:tab w:val="left" w:pos="6480"/>
        </w:tabs>
        <w:ind w:left="6480" w:hanging="360"/>
      </w:pPr>
      <w:rPr>
        <w:rFonts w:hint="default" w:ascii="Courier New" w:hAnsi="Courier New"/>
      </w:rPr>
    </w:lvl>
  </w:abstractNum>
  <w:abstractNum w:abstractNumId="4">
    <w:nsid w:val="5DE0236E"/>
    <w:multiLevelType w:val="multilevel"/>
    <w:tmpl w:val="5DE0236E"/>
    <w:lvl w:ilvl="0" w:tentative="0">
      <w:start w:val="1"/>
      <w:numFmt w:val="decimal"/>
      <w:lvlText w:val="(%1)"/>
      <w:lvlJc w:val="left"/>
      <w:pPr>
        <w:ind w:left="1595" w:hanging="720"/>
      </w:pPr>
      <w:rPr>
        <w:rFonts w:hint="default" w:ascii="Calibri" w:hAnsi="Calibri" w:eastAsia="Calibri" w:cs="Calibri"/>
        <w:b/>
        <w:bCs/>
        <w:spacing w:val="0"/>
        <w:w w:val="103"/>
        <w:sz w:val="19"/>
        <w:szCs w:val="19"/>
        <w:lang w:val="en-US" w:eastAsia="en-US" w:bidi="en-US"/>
      </w:rPr>
    </w:lvl>
    <w:lvl w:ilvl="1" w:tentative="0">
      <w:start w:val="1"/>
      <w:numFmt w:val="lowerLetter"/>
      <w:lvlText w:val="(%2)"/>
      <w:lvlJc w:val="left"/>
      <w:pPr>
        <w:ind w:left="2315" w:hanging="720"/>
      </w:pPr>
      <w:rPr>
        <w:rFonts w:hint="default" w:ascii="Calibri" w:hAnsi="Calibri" w:eastAsia="Calibri" w:cs="Calibri"/>
        <w:b/>
        <w:bCs/>
        <w:spacing w:val="0"/>
        <w:w w:val="103"/>
        <w:sz w:val="19"/>
        <w:szCs w:val="19"/>
        <w:lang w:val="en-US" w:eastAsia="en-US" w:bidi="en-US"/>
      </w:rPr>
    </w:lvl>
    <w:lvl w:ilvl="2" w:tentative="0">
      <w:start w:val="1"/>
      <w:numFmt w:val="lowerRoman"/>
      <w:lvlText w:val="(%3)"/>
      <w:lvlJc w:val="left"/>
      <w:pPr>
        <w:ind w:left="3035" w:hanging="720"/>
      </w:pPr>
      <w:rPr>
        <w:rFonts w:hint="default" w:ascii="Calibri" w:hAnsi="Calibri" w:eastAsia="Calibri" w:cs="Calibri"/>
        <w:w w:val="103"/>
        <w:sz w:val="19"/>
        <w:szCs w:val="19"/>
        <w:lang w:val="en-US" w:eastAsia="en-US" w:bidi="en-US"/>
      </w:rPr>
    </w:lvl>
    <w:lvl w:ilvl="3" w:tentative="0">
      <w:start w:val="0"/>
      <w:numFmt w:val="bullet"/>
      <w:lvlText w:val="•"/>
      <w:lvlJc w:val="left"/>
      <w:pPr>
        <w:ind w:left="3910" w:hanging="720"/>
      </w:pPr>
      <w:rPr>
        <w:rFonts w:hint="default"/>
        <w:lang w:val="en-US" w:eastAsia="en-US" w:bidi="en-US"/>
      </w:rPr>
    </w:lvl>
    <w:lvl w:ilvl="4" w:tentative="0">
      <w:start w:val="0"/>
      <w:numFmt w:val="bullet"/>
      <w:lvlText w:val="•"/>
      <w:lvlJc w:val="left"/>
      <w:pPr>
        <w:ind w:left="4781" w:hanging="720"/>
      </w:pPr>
      <w:rPr>
        <w:rFonts w:hint="default"/>
        <w:lang w:val="en-US" w:eastAsia="en-US" w:bidi="en-US"/>
      </w:rPr>
    </w:lvl>
    <w:lvl w:ilvl="5" w:tentative="0">
      <w:start w:val="0"/>
      <w:numFmt w:val="bullet"/>
      <w:lvlText w:val="•"/>
      <w:lvlJc w:val="left"/>
      <w:pPr>
        <w:ind w:left="5652" w:hanging="720"/>
      </w:pPr>
      <w:rPr>
        <w:rFonts w:hint="default"/>
        <w:lang w:val="en-US" w:eastAsia="en-US" w:bidi="en-US"/>
      </w:rPr>
    </w:lvl>
    <w:lvl w:ilvl="6" w:tentative="0">
      <w:start w:val="0"/>
      <w:numFmt w:val="bullet"/>
      <w:lvlText w:val="•"/>
      <w:lvlJc w:val="left"/>
      <w:pPr>
        <w:ind w:left="6522" w:hanging="720"/>
      </w:pPr>
      <w:rPr>
        <w:rFonts w:hint="default"/>
        <w:lang w:val="en-US" w:eastAsia="en-US" w:bidi="en-US"/>
      </w:rPr>
    </w:lvl>
    <w:lvl w:ilvl="7" w:tentative="0">
      <w:start w:val="0"/>
      <w:numFmt w:val="bullet"/>
      <w:lvlText w:val="•"/>
      <w:lvlJc w:val="left"/>
      <w:pPr>
        <w:ind w:left="7393" w:hanging="720"/>
      </w:pPr>
      <w:rPr>
        <w:rFonts w:hint="default"/>
        <w:lang w:val="en-US" w:eastAsia="en-US" w:bidi="en-US"/>
      </w:rPr>
    </w:lvl>
    <w:lvl w:ilvl="8" w:tentative="0">
      <w:start w:val="0"/>
      <w:numFmt w:val="bullet"/>
      <w:lvlText w:val="•"/>
      <w:lvlJc w:val="left"/>
      <w:pPr>
        <w:ind w:left="8264" w:hanging="720"/>
      </w:pPr>
      <w:rPr>
        <w:rFonts w:hint="default"/>
        <w:lang w:val="en-US" w:eastAsia="en-US" w:bidi="en-US"/>
      </w:rPr>
    </w:lvl>
  </w:abstractNum>
  <w:abstractNum w:abstractNumId="5">
    <w:nsid w:val="76DA63AD"/>
    <w:multiLevelType w:val="multilevel"/>
    <w:tmpl w:val="76DA63A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243"/>
    <w:rsid w:val="000131D3"/>
    <w:rsid w:val="00031D94"/>
    <w:rsid w:val="000346A4"/>
    <w:rsid w:val="0003737E"/>
    <w:rsid w:val="00037397"/>
    <w:rsid w:val="000428C6"/>
    <w:rsid w:val="0004349F"/>
    <w:rsid w:val="00052180"/>
    <w:rsid w:val="00056C9A"/>
    <w:rsid w:val="000665F8"/>
    <w:rsid w:val="00092AC9"/>
    <w:rsid w:val="000B2768"/>
    <w:rsid w:val="000D6DBA"/>
    <w:rsid w:val="000E1497"/>
    <w:rsid w:val="00105303"/>
    <w:rsid w:val="001158AA"/>
    <w:rsid w:val="00143A45"/>
    <w:rsid w:val="00147118"/>
    <w:rsid w:val="001905C5"/>
    <w:rsid w:val="001A1FA7"/>
    <w:rsid w:val="001A4310"/>
    <w:rsid w:val="001B38D1"/>
    <w:rsid w:val="001D2479"/>
    <w:rsid w:val="001E5CA2"/>
    <w:rsid w:val="001E6735"/>
    <w:rsid w:val="001F09FE"/>
    <w:rsid w:val="001F4659"/>
    <w:rsid w:val="002426D5"/>
    <w:rsid w:val="00244500"/>
    <w:rsid w:val="0025184E"/>
    <w:rsid w:val="00260838"/>
    <w:rsid w:val="00270303"/>
    <w:rsid w:val="0029441B"/>
    <w:rsid w:val="002B7174"/>
    <w:rsid w:val="002C4668"/>
    <w:rsid w:val="002C7DFE"/>
    <w:rsid w:val="002D3024"/>
    <w:rsid w:val="002D47C0"/>
    <w:rsid w:val="002E61F2"/>
    <w:rsid w:val="00326A83"/>
    <w:rsid w:val="00373C18"/>
    <w:rsid w:val="00380E54"/>
    <w:rsid w:val="00406FED"/>
    <w:rsid w:val="00412321"/>
    <w:rsid w:val="00417AA0"/>
    <w:rsid w:val="00431C96"/>
    <w:rsid w:val="00437FFB"/>
    <w:rsid w:val="00445A85"/>
    <w:rsid w:val="00474516"/>
    <w:rsid w:val="00494864"/>
    <w:rsid w:val="00496B20"/>
    <w:rsid w:val="004C0C14"/>
    <w:rsid w:val="004C423E"/>
    <w:rsid w:val="004D15FB"/>
    <w:rsid w:val="004F290D"/>
    <w:rsid w:val="004F6E44"/>
    <w:rsid w:val="004F71FD"/>
    <w:rsid w:val="0050301D"/>
    <w:rsid w:val="005119ED"/>
    <w:rsid w:val="005223BF"/>
    <w:rsid w:val="00536D90"/>
    <w:rsid w:val="0055534C"/>
    <w:rsid w:val="00566FF1"/>
    <w:rsid w:val="005836D5"/>
    <w:rsid w:val="00590520"/>
    <w:rsid w:val="00596243"/>
    <w:rsid w:val="005A5460"/>
    <w:rsid w:val="005B1C81"/>
    <w:rsid w:val="005C4A1A"/>
    <w:rsid w:val="005E2EC4"/>
    <w:rsid w:val="00624839"/>
    <w:rsid w:val="00660CBC"/>
    <w:rsid w:val="00662A47"/>
    <w:rsid w:val="00674080"/>
    <w:rsid w:val="0067557B"/>
    <w:rsid w:val="00681FA7"/>
    <w:rsid w:val="006917C8"/>
    <w:rsid w:val="006A5454"/>
    <w:rsid w:val="006B7074"/>
    <w:rsid w:val="006C0F23"/>
    <w:rsid w:val="006C2978"/>
    <w:rsid w:val="006D407B"/>
    <w:rsid w:val="006D4B48"/>
    <w:rsid w:val="006F6658"/>
    <w:rsid w:val="00716B5C"/>
    <w:rsid w:val="00721AA5"/>
    <w:rsid w:val="00731FA7"/>
    <w:rsid w:val="00742F02"/>
    <w:rsid w:val="00750C86"/>
    <w:rsid w:val="007550F1"/>
    <w:rsid w:val="00784FF0"/>
    <w:rsid w:val="007869DD"/>
    <w:rsid w:val="007E01D9"/>
    <w:rsid w:val="007F1240"/>
    <w:rsid w:val="00823241"/>
    <w:rsid w:val="008353D4"/>
    <w:rsid w:val="00864D8D"/>
    <w:rsid w:val="008A4C1F"/>
    <w:rsid w:val="008C18BC"/>
    <w:rsid w:val="008F0615"/>
    <w:rsid w:val="009028D2"/>
    <w:rsid w:val="00906FE2"/>
    <w:rsid w:val="00907FDA"/>
    <w:rsid w:val="009656F2"/>
    <w:rsid w:val="00965E13"/>
    <w:rsid w:val="00990D6E"/>
    <w:rsid w:val="009955BD"/>
    <w:rsid w:val="009D0CB2"/>
    <w:rsid w:val="009F1D71"/>
    <w:rsid w:val="00A02F99"/>
    <w:rsid w:val="00A07DB5"/>
    <w:rsid w:val="00A173B2"/>
    <w:rsid w:val="00A21644"/>
    <w:rsid w:val="00A52D8E"/>
    <w:rsid w:val="00A534BD"/>
    <w:rsid w:val="00A5518F"/>
    <w:rsid w:val="00A74092"/>
    <w:rsid w:val="00AA6157"/>
    <w:rsid w:val="00AE2DB1"/>
    <w:rsid w:val="00AF0AAE"/>
    <w:rsid w:val="00AF17B9"/>
    <w:rsid w:val="00AF62FB"/>
    <w:rsid w:val="00B115AA"/>
    <w:rsid w:val="00B16651"/>
    <w:rsid w:val="00B230E0"/>
    <w:rsid w:val="00B35C18"/>
    <w:rsid w:val="00B400BF"/>
    <w:rsid w:val="00B43CB6"/>
    <w:rsid w:val="00B7469C"/>
    <w:rsid w:val="00B768D5"/>
    <w:rsid w:val="00B84057"/>
    <w:rsid w:val="00B902A8"/>
    <w:rsid w:val="00B91CFD"/>
    <w:rsid w:val="00BB2755"/>
    <w:rsid w:val="00BD2B9A"/>
    <w:rsid w:val="00BD3CAA"/>
    <w:rsid w:val="00BE7E8C"/>
    <w:rsid w:val="00C36854"/>
    <w:rsid w:val="00C5074E"/>
    <w:rsid w:val="00C554F3"/>
    <w:rsid w:val="00C576D5"/>
    <w:rsid w:val="00C63660"/>
    <w:rsid w:val="00C83684"/>
    <w:rsid w:val="00C95087"/>
    <w:rsid w:val="00CA1AF7"/>
    <w:rsid w:val="00CA48BF"/>
    <w:rsid w:val="00CE21C3"/>
    <w:rsid w:val="00D16454"/>
    <w:rsid w:val="00D370E0"/>
    <w:rsid w:val="00D52EE8"/>
    <w:rsid w:val="00D7721F"/>
    <w:rsid w:val="00DA337E"/>
    <w:rsid w:val="00DA4CBC"/>
    <w:rsid w:val="00DA5207"/>
    <w:rsid w:val="00DB5E45"/>
    <w:rsid w:val="00DF2EDE"/>
    <w:rsid w:val="00E3301C"/>
    <w:rsid w:val="00E33CC0"/>
    <w:rsid w:val="00E44DB2"/>
    <w:rsid w:val="00E45CDA"/>
    <w:rsid w:val="00E47122"/>
    <w:rsid w:val="00E52E2A"/>
    <w:rsid w:val="00E54043"/>
    <w:rsid w:val="00E63F51"/>
    <w:rsid w:val="00E64CD1"/>
    <w:rsid w:val="00E97298"/>
    <w:rsid w:val="00E974FF"/>
    <w:rsid w:val="00ED28AC"/>
    <w:rsid w:val="00EE0481"/>
    <w:rsid w:val="00EE60B2"/>
    <w:rsid w:val="00EF2570"/>
    <w:rsid w:val="00F00011"/>
    <w:rsid w:val="00F01F3C"/>
    <w:rsid w:val="00F069FE"/>
    <w:rsid w:val="00F23543"/>
    <w:rsid w:val="00F27419"/>
    <w:rsid w:val="00F33714"/>
    <w:rsid w:val="00F3453A"/>
    <w:rsid w:val="00F37F05"/>
    <w:rsid w:val="00F53E5C"/>
    <w:rsid w:val="00F545B5"/>
    <w:rsid w:val="00F65F6B"/>
    <w:rsid w:val="00F6634E"/>
    <w:rsid w:val="00FA47BC"/>
    <w:rsid w:val="00FC2814"/>
    <w:rsid w:val="00FC62EF"/>
    <w:rsid w:val="00FD3CF0"/>
    <w:rsid w:val="6A897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2"/>
    <w:basedOn w:val="1"/>
    <w:next w:val="1"/>
    <w:link w:val="16"/>
    <w:unhideWhenUsed/>
    <w:qFormat/>
    <w:uiPriority w:val="9"/>
    <w:pPr>
      <w:widowControl w:val="0"/>
      <w:autoSpaceDE w:val="0"/>
      <w:autoSpaceDN w:val="0"/>
      <w:spacing w:after="0" w:line="240" w:lineRule="auto"/>
      <w:ind w:left="875" w:hanging="721"/>
      <w:outlineLvl w:val="1"/>
    </w:pPr>
    <w:rPr>
      <w:rFonts w:ascii="Calibri" w:hAnsi="Calibri" w:eastAsia="Calibri" w:cs="Calibri"/>
      <w:b/>
      <w:bCs/>
      <w:sz w:val="19"/>
      <w:szCs w:val="19"/>
      <w:lang w:bidi="en-US"/>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semiHidden/>
    <w:unhideWhenUsed/>
    <w:uiPriority w:val="99"/>
    <w:pPr>
      <w:spacing w:after="0" w:line="240" w:lineRule="auto"/>
    </w:pPr>
    <w:rPr>
      <w:rFonts w:ascii="Segoe UI" w:hAnsi="Segoe UI" w:cs="Segoe UI"/>
      <w:sz w:val="18"/>
      <w:szCs w:val="18"/>
    </w:rPr>
  </w:style>
  <w:style w:type="paragraph" w:styleId="6">
    <w:name w:val="Body Text"/>
    <w:basedOn w:val="1"/>
    <w:link w:val="17"/>
    <w:qFormat/>
    <w:uiPriority w:val="1"/>
    <w:pPr>
      <w:widowControl w:val="0"/>
      <w:autoSpaceDE w:val="0"/>
      <w:autoSpaceDN w:val="0"/>
      <w:spacing w:after="0" w:line="240" w:lineRule="auto"/>
    </w:pPr>
    <w:rPr>
      <w:rFonts w:ascii="Calibri" w:hAnsi="Calibri" w:eastAsia="Calibri" w:cs="Calibri"/>
      <w:sz w:val="19"/>
      <w:szCs w:val="19"/>
      <w:lang w:bidi="en-US"/>
    </w:rPr>
  </w:style>
  <w:style w:type="character" w:styleId="7">
    <w:name w:val="Emphasis"/>
    <w:basedOn w:val="3"/>
    <w:qFormat/>
    <w:uiPriority w:val="20"/>
    <w:rPr>
      <w:i/>
      <w:iCs/>
    </w:rPr>
  </w:style>
  <w:style w:type="paragraph" w:styleId="8">
    <w:name w:val="footer"/>
    <w:basedOn w:val="1"/>
    <w:link w:val="14"/>
    <w:unhideWhenUsed/>
    <w:uiPriority w:val="99"/>
    <w:pPr>
      <w:tabs>
        <w:tab w:val="center" w:pos="4680"/>
        <w:tab w:val="right" w:pos="9360"/>
      </w:tabs>
      <w:spacing w:after="0" w:line="240" w:lineRule="auto"/>
    </w:pPr>
  </w:style>
  <w:style w:type="paragraph" w:styleId="9">
    <w:name w:val="header"/>
    <w:basedOn w:val="1"/>
    <w:link w:val="13"/>
    <w:unhideWhenUsed/>
    <w:uiPriority w:val="99"/>
    <w:pPr>
      <w:tabs>
        <w:tab w:val="center" w:pos="4680"/>
        <w:tab w:val="right" w:pos="9360"/>
      </w:tabs>
      <w:spacing w:after="0" w:line="240" w:lineRule="auto"/>
    </w:pPr>
  </w:style>
  <w:style w:type="character" w:styleId="10">
    <w:name w:val="Hyperlink"/>
    <w:basedOn w:val="3"/>
    <w:unhideWhenUsed/>
    <w:uiPriority w:val="99"/>
    <w:rPr>
      <w:color w:val="0563C1" w:themeColor="hyperlink"/>
      <w:u w:val="single"/>
    </w:r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2">
    <w:name w:val="List Paragraph"/>
    <w:basedOn w:val="1"/>
    <w:qFormat/>
    <w:uiPriority w:val="1"/>
    <w:pPr>
      <w:ind w:left="720"/>
      <w:contextualSpacing/>
    </w:pPr>
  </w:style>
  <w:style w:type="character" w:customStyle="1" w:styleId="13">
    <w:name w:val="Header Char"/>
    <w:basedOn w:val="3"/>
    <w:link w:val="9"/>
    <w:uiPriority w:val="99"/>
  </w:style>
  <w:style w:type="character" w:customStyle="1" w:styleId="14">
    <w:name w:val="Footer Char"/>
    <w:basedOn w:val="3"/>
    <w:link w:val="8"/>
    <w:uiPriority w:val="99"/>
  </w:style>
  <w:style w:type="character" w:customStyle="1" w:styleId="15">
    <w:name w:val="Balloon Text Char"/>
    <w:basedOn w:val="3"/>
    <w:link w:val="5"/>
    <w:semiHidden/>
    <w:uiPriority w:val="99"/>
    <w:rPr>
      <w:rFonts w:ascii="Segoe UI" w:hAnsi="Segoe UI" w:cs="Segoe UI"/>
      <w:sz w:val="18"/>
      <w:szCs w:val="18"/>
    </w:rPr>
  </w:style>
  <w:style w:type="character" w:customStyle="1" w:styleId="16">
    <w:name w:val="Heading 2 Char"/>
    <w:basedOn w:val="3"/>
    <w:link w:val="2"/>
    <w:uiPriority w:val="9"/>
    <w:rPr>
      <w:rFonts w:ascii="Calibri" w:hAnsi="Calibri" w:eastAsia="Calibri" w:cs="Calibri"/>
      <w:b/>
      <w:bCs/>
      <w:sz w:val="19"/>
      <w:szCs w:val="19"/>
      <w:lang w:bidi="en-US"/>
    </w:rPr>
  </w:style>
  <w:style w:type="character" w:customStyle="1" w:styleId="17">
    <w:name w:val="Body Text Char"/>
    <w:basedOn w:val="3"/>
    <w:link w:val="6"/>
    <w:uiPriority w:val="1"/>
    <w:rPr>
      <w:rFonts w:ascii="Calibri" w:hAnsi="Calibri" w:eastAsia="Calibri" w:cs="Calibri"/>
      <w:sz w:val="19"/>
      <w:szCs w:val="19"/>
      <w:lang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2824</Words>
  <Characters>16098</Characters>
  <Lines>134</Lines>
  <Paragraphs>37</Paragraphs>
  <TotalTime>199</TotalTime>
  <ScaleCrop>false</ScaleCrop>
  <LinksUpToDate>false</LinksUpToDate>
  <CharactersWithSpaces>18885</CharactersWithSpaces>
  <Application>WPS Office_11.2.0.11210_F1E327BC-269C-435d-A152-05C5408002CA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2022-08-23T09:26:00Z</dcterms:created>
  <dc:creator>Aliyu Mohammed Yusuf</dc:creator>
  <cp:lastModifiedBy>IFEOMA</cp:lastModifiedBy>
  <cp:lastPrinted>2022-09-12T07:56:00Z</cp:lastPrinted>
  <dcterms:modified xsi:type="dcterms:W3CDTF">2022-09-12T15:59:13Z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1033-11.2.0.11210</vt:lpwstr>
  </property>
  <property fmtid="{D5CDD505-2E9C-101B-9397-08002B2CF9AE}" pid="3" name="ICV">
    <vt:lpwstr>801E48D0D971468398597FED25DB2844</vt:lpwstr>
  </property>
</Properties>
</file>